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97703" w:rsidRDefault="004E3939">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TSG</w:t>
      </w:r>
      <w:r w:rsidR="000F3A5E">
        <w:rPr>
          <w:rFonts w:cs="Arial"/>
          <w:bCs/>
          <w:sz w:val="22"/>
          <w:szCs w:val="22"/>
        </w:rPr>
        <w:t xml:space="preserve"> RAN</w:t>
      </w:r>
      <w:r w:rsidRPr="00DA53A0">
        <w:rPr>
          <w:rFonts w:cs="Arial"/>
          <w:bCs/>
          <w:sz w:val="22"/>
          <w:szCs w:val="22"/>
        </w:rPr>
        <w:t xml:space="preserve"> WG</w:t>
      </w:r>
      <w:r w:rsidR="000F3A5E">
        <w:rPr>
          <w:rFonts w:cs="Arial"/>
          <w:bCs/>
          <w:sz w:val="22"/>
          <w:szCs w:val="22"/>
        </w:rPr>
        <w:t>4</w:t>
      </w:r>
      <w:bookmarkEnd w:id="0"/>
      <w:bookmarkEnd w:id="1"/>
      <w:bookmarkEnd w:id="2"/>
      <w:r w:rsidRPr="00DA53A0">
        <w:rPr>
          <w:rFonts w:cs="Arial"/>
          <w:bCs/>
          <w:sz w:val="22"/>
          <w:szCs w:val="22"/>
        </w:rPr>
        <w:t xml:space="preserve"> Meeting </w:t>
      </w:r>
      <w:r w:rsidR="000F3A5E">
        <w:rPr>
          <w:rFonts w:cs="Arial"/>
          <w:bCs/>
          <w:sz w:val="22"/>
          <w:szCs w:val="22"/>
        </w:rPr>
        <w:t>#10</w:t>
      </w:r>
      <w:r w:rsidR="001831E5">
        <w:rPr>
          <w:rFonts w:cs="Arial"/>
          <w:bCs/>
          <w:sz w:val="22"/>
          <w:szCs w:val="22"/>
        </w:rPr>
        <w:t>7</w:t>
      </w:r>
      <w:r w:rsidR="00CE593F">
        <w:rPr>
          <w:rFonts w:cs="Arial"/>
          <w:bCs/>
          <w:sz w:val="22"/>
          <w:szCs w:val="22"/>
        </w:rPr>
        <w:t xml:space="preserve">                            </w:t>
      </w:r>
      <w:r w:rsidR="00921592">
        <w:rPr>
          <w:rFonts w:cs="Arial"/>
          <w:bCs/>
          <w:sz w:val="22"/>
          <w:szCs w:val="22"/>
        </w:rPr>
        <w:t xml:space="preserve">                                                   </w:t>
      </w:r>
      <w:r w:rsidR="000F3A5E">
        <w:rPr>
          <w:rFonts w:cs="Arial"/>
          <w:bCs/>
          <w:sz w:val="22"/>
          <w:szCs w:val="22"/>
        </w:rPr>
        <w:t>R4-2</w:t>
      </w:r>
      <w:r w:rsidR="00EB22CF">
        <w:rPr>
          <w:rFonts w:cs="Arial"/>
          <w:bCs/>
          <w:sz w:val="22"/>
          <w:szCs w:val="22"/>
        </w:rPr>
        <w:t>3</w:t>
      </w:r>
      <w:r w:rsidR="001831E5">
        <w:rPr>
          <w:rFonts w:cs="Arial"/>
          <w:bCs/>
          <w:sz w:val="22"/>
          <w:szCs w:val="22"/>
        </w:rPr>
        <w:t>0</w:t>
      </w:r>
      <w:r w:rsidR="009D189D">
        <w:rPr>
          <w:rFonts w:cs="Arial"/>
          <w:bCs/>
          <w:sz w:val="22"/>
          <w:szCs w:val="22"/>
        </w:rPr>
        <w:t>7913</w:t>
      </w:r>
    </w:p>
    <w:p w:rsidR="004E3939" w:rsidRPr="00DA53A0" w:rsidRDefault="001831E5" w:rsidP="004E3939">
      <w:pPr>
        <w:pStyle w:val="Header"/>
        <w:rPr>
          <w:sz w:val="22"/>
          <w:szCs w:val="22"/>
        </w:rPr>
      </w:pPr>
      <w:r>
        <w:rPr>
          <w:sz w:val="22"/>
          <w:szCs w:val="22"/>
        </w:rPr>
        <w:t>Incheon</w:t>
      </w:r>
      <w:r w:rsidR="004E3939" w:rsidRPr="00DA53A0">
        <w:rPr>
          <w:sz w:val="22"/>
          <w:szCs w:val="22"/>
        </w:rPr>
        <w:t xml:space="preserve">, </w:t>
      </w:r>
      <w:r>
        <w:rPr>
          <w:sz w:val="22"/>
          <w:szCs w:val="22"/>
        </w:rPr>
        <w:t>K</w:t>
      </w:r>
      <w:r w:rsidR="009D189D">
        <w:rPr>
          <w:sz w:val="22"/>
          <w:szCs w:val="22"/>
        </w:rPr>
        <w:t>R</w:t>
      </w:r>
      <w:r w:rsidR="004E3939" w:rsidRPr="00DA53A0">
        <w:rPr>
          <w:sz w:val="22"/>
          <w:szCs w:val="22"/>
        </w:rPr>
        <w:t xml:space="preserve">, </w:t>
      </w:r>
      <w:r w:rsidR="009D21B0">
        <w:rPr>
          <w:sz w:val="22"/>
          <w:szCs w:val="22"/>
        </w:rPr>
        <w:t>2</w:t>
      </w:r>
      <w:r>
        <w:rPr>
          <w:sz w:val="22"/>
          <w:szCs w:val="22"/>
        </w:rPr>
        <w:t>2</w:t>
      </w:r>
      <w:r w:rsidR="000F3A5E" w:rsidRPr="000F3A5E">
        <w:rPr>
          <w:sz w:val="22"/>
          <w:szCs w:val="22"/>
          <w:vertAlign w:val="superscript"/>
        </w:rPr>
        <w:t>th</w:t>
      </w:r>
      <w:r w:rsidR="000F3A5E">
        <w:rPr>
          <w:sz w:val="22"/>
          <w:szCs w:val="22"/>
        </w:rPr>
        <w:t xml:space="preserve"> </w:t>
      </w:r>
      <w:r>
        <w:rPr>
          <w:sz w:val="22"/>
          <w:szCs w:val="22"/>
        </w:rPr>
        <w:t>May</w:t>
      </w:r>
      <w:r w:rsidR="009D21B0">
        <w:rPr>
          <w:sz w:val="22"/>
          <w:szCs w:val="22"/>
        </w:rPr>
        <w:t xml:space="preserve"> </w:t>
      </w:r>
      <w:r w:rsidR="000F3A5E">
        <w:rPr>
          <w:sz w:val="22"/>
          <w:szCs w:val="22"/>
        </w:rPr>
        <w:t>–</w:t>
      </w:r>
      <w:r w:rsidR="004E3939" w:rsidRPr="00DA53A0">
        <w:rPr>
          <w:sz w:val="22"/>
          <w:szCs w:val="22"/>
        </w:rPr>
        <w:t xml:space="preserve"> </w:t>
      </w:r>
      <w:r>
        <w:rPr>
          <w:sz w:val="22"/>
          <w:szCs w:val="22"/>
        </w:rPr>
        <w:t>26</w:t>
      </w:r>
      <w:r w:rsidR="000F3A5E">
        <w:rPr>
          <w:sz w:val="22"/>
          <w:szCs w:val="22"/>
        </w:rPr>
        <w:t xml:space="preserve"> </w:t>
      </w:r>
      <w:r w:rsidR="009D21B0">
        <w:rPr>
          <w:sz w:val="22"/>
          <w:szCs w:val="22"/>
        </w:rPr>
        <w:t>Ma</w:t>
      </w:r>
      <w:r>
        <w:rPr>
          <w:sz w:val="22"/>
          <w:szCs w:val="22"/>
        </w:rPr>
        <w:t>y</w:t>
      </w:r>
      <w:r w:rsidR="000F3A5E">
        <w:rPr>
          <w:sz w:val="22"/>
          <w:szCs w:val="22"/>
        </w:rPr>
        <w:t>, 202</w:t>
      </w:r>
      <w:r w:rsidR="009D21B0">
        <w:rPr>
          <w:sz w:val="22"/>
          <w:szCs w:val="22"/>
        </w:rPr>
        <w:t>3</w:t>
      </w:r>
    </w:p>
    <w:p w:rsidR="00B97703" w:rsidRDefault="00B97703">
      <w:pPr>
        <w:rPr>
          <w:rFonts w:ascii="Arial" w:hAnsi="Arial" w:cs="Arial"/>
        </w:rPr>
      </w:pPr>
    </w:p>
    <w:p w:rsidR="007232AE" w:rsidRPr="00B61EF5" w:rsidRDefault="007232AE" w:rsidP="007232AE">
      <w:pPr>
        <w:tabs>
          <w:tab w:val="left" w:pos="1985"/>
        </w:tabs>
        <w:jc w:val="both"/>
        <w:rPr>
          <w:rFonts w:ascii="Arial" w:hAnsi="Arial" w:cs="Arial"/>
          <w:sz w:val="22"/>
          <w:szCs w:val="22"/>
        </w:rPr>
      </w:pPr>
      <w:r w:rsidRPr="00B61EF5">
        <w:rPr>
          <w:rFonts w:ascii="Arial" w:hAnsi="Arial" w:cs="Arial"/>
          <w:b/>
          <w:sz w:val="22"/>
          <w:szCs w:val="22"/>
        </w:rPr>
        <w:t xml:space="preserve">Source: </w:t>
      </w:r>
      <w:r w:rsidRPr="00B61EF5">
        <w:rPr>
          <w:rFonts w:ascii="Arial" w:hAnsi="Arial" w:cs="Arial"/>
          <w:b/>
          <w:sz w:val="22"/>
          <w:szCs w:val="22"/>
        </w:rPr>
        <w:tab/>
      </w:r>
      <w:r w:rsidRPr="00B61EF5">
        <w:rPr>
          <w:rFonts w:ascii="Arial" w:hAnsi="Arial" w:cs="Arial"/>
          <w:sz w:val="22"/>
          <w:szCs w:val="22"/>
        </w:rPr>
        <w:t>Huawei</w:t>
      </w:r>
      <w:r w:rsidRPr="00C04507">
        <w:rPr>
          <w:rFonts w:ascii="Arial" w:hAnsi="Arial" w:cs="Arial"/>
          <w:sz w:val="22"/>
          <w:szCs w:val="22"/>
        </w:rPr>
        <w:t xml:space="preserve">, </w:t>
      </w:r>
      <w:proofErr w:type="spellStart"/>
      <w:r w:rsidRPr="00C04507">
        <w:rPr>
          <w:rFonts w:ascii="Arial" w:hAnsi="Arial" w:cs="Arial"/>
          <w:sz w:val="22"/>
          <w:szCs w:val="22"/>
        </w:rPr>
        <w:t>HiSilicon</w:t>
      </w:r>
      <w:proofErr w:type="spellEnd"/>
    </w:p>
    <w:p w:rsidR="007232AE" w:rsidRPr="007232AE" w:rsidRDefault="007232AE" w:rsidP="007232AE">
      <w:pPr>
        <w:tabs>
          <w:tab w:val="left" w:pos="1985"/>
        </w:tabs>
        <w:jc w:val="both"/>
        <w:rPr>
          <w:rFonts w:ascii="Arial" w:hAnsi="Arial" w:cs="Arial"/>
          <w:color w:val="000000"/>
          <w:sz w:val="22"/>
          <w:szCs w:val="22"/>
        </w:rPr>
      </w:pPr>
      <w:r w:rsidRPr="00C9608B">
        <w:rPr>
          <w:rFonts w:ascii="Arial" w:hAnsi="Arial" w:cs="Arial"/>
          <w:b/>
          <w:sz w:val="22"/>
          <w:szCs w:val="22"/>
        </w:rPr>
        <w:t>Title:</w:t>
      </w:r>
      <w:r w:rsidRPr="00C9608B">
        <w:rPr>
          <w:rFonts w:ascii="Arial" w:hAnsi="Arial" w:cs="Arial"/>
          <w:b/>
          <w:sz w:val="22"/>
          <w:szCs w:val="22"/>
        </w:rPr>
        <w:tab/>
      </w:r>
      <w:r w:rsidR="001831E5">
        <w:rPr>
          <w:rFonts w:ascii="Arial" w:hAnsi="Arial" w:cs="Arial"/>
          <w:b/>
          <w:sz w:val="22"/>
          <w:szCs w:val="22"/>
        </w:rPr>
        <w:t>Discussion on applicable power classes for NR CA</w:t>
      </w:r>
    </w:p>
    <w:p w:rsidR="007232AE" w:rsidRPr="007232AE" w:rsidRDefault="007232AE" w:rsidP="007232AE">
      <w:pPr>
        <w:tabs>
          <w:tab w:val="left" w:pos="1985"/>
        </w:tabs>
        <w:jc w:val="both"/>
        <w:rPr>
          <w:rFonts w:ascii="Arial" w:hAnsi="Arial" w:cs="Arial"/>
          <w:b/>
          <w:color w:val="000000"/>
          <w:sz w:val="22"/>
          <w:szCs w:val="22"/>
          <w:lang w:eastAsia="zh-CN"/>
        </w:rPr>
      </w:pPr>
      <w:r w:rsidRPr="007232AE">
        <w:rPr>
          <w:rFonts w:ascii="Arial" w:hAnsi="Arial" w:cs="Arial"/>
          <w:b/>
          <w:color w:val="000000"/>
          <w:sz w:val="22"/>
          <w:szCs w:val="22"/>
        </w:rPr>
        <w:t>Agenda Item:</w:t>
      </w:r>
      <w:r w:rsidRPr="007232AE">
        <w:rPr>
          <w:rFonts w:ascii="Arial" w:hAnsi="Arial" w:cs="Arial"/>
          <w:b/>
          <w:color w:val="000000"/>
          <w:sz w:val="22"/>
          <w:szCs w:val="22"/>
        </w:rPr>
        <w:tab/>
      </w:r>
      <w:r w:rsidR="005C52A0">
        <w:rPr>
          <w:rFonts w:ascii="Arial" w:hAnsi="Arial" w:cs="Arial"/>
          <w:color w:val="000000"/>
          <w:sz w:val="22"/>
          <w:szCs w:val="22"/>
        </w:rPr>
        <w:t>5</w:t>
      </w:r>
      <w:r w:rsidR="00EB22CF">
        <w:rPr>
          <w:rFonts w:ascii="Arial" w:hAnsi="Arial" w:cs="Arial"/>
          <w:color w:val="000000"/>
          <w:sz w:val="22"/>
          <w:szCs w:val="22"/>
        </w:rPr>
        <w:t>.</w:t>
      </w:r>
      <w:r w:rsidR="005C52A0">
        <w:rPr>
          <w:rFonts w:ascii="Arial" w:hAnsi="Arial" w:cs="Arial"/>
          <w:color w:val="000000"/>
          <w:sz w:val="22"/>
          <w:szCs w:val="22"/>
        </w:rPr>
        <w:t>2</w:t>
      </w:r>
      <w:r w:rsidR="00EB22CF">
        <w:rPr>
          <w:rFonts w:ascii="Arial" w:hAnsi="Arial" w:cs="Arial"/>
          <w:color w:val="000000"/>
          <w:sz w:val="22"/>
          <w:szCs w:val="22"/>
        </w:rPr>
        <w:t>.</w:t>
      </w:r>
      <w:r w:rsidR="005C52A0">
        <w:rPr>
          <w:rFonts w:ascii="Arial" w:hAnsi="Arial" w:cs="Arial"/>
          <w:color w:val="000000"/>
          <w:sz w:val="22"/>
          <w:szCs w:val="22"/>
        </w:rPr>
        <w:t>10.2</w:t>
      </w:r>
    </w:p>
    <w:p w:rsidR="007232AE" w:rsidRPr="00B61EF5" w:rsidRDefault="007232AE" w:rsidP="007232AE">
      <w:pPr>
        <w:tabs>
          <w:tab w:val="left" w:pos="1985"/>
        </w:tabs>
        <w:jc w:val="both"/>
        <w:rPr>
          <w:rFonts w:ascii="Arial" w:hAnsi="Arial" w:cs="Arial"/>
          <w:b/>
          <w:sz w:val="22"/>
          <w:szCs w:val="22"/>
          <w:lang w:eastAsia="zh-CN"/>
        </w:rPr>
      </w:pPr>
      <w:r w:rsidRPr="00C9608B">
        <w:rPr>
          <w:rFonts w:ascii="Arial" w:hAnsi="Arial" w:cs="Arial"/>
          <w:b/>
          <w:sz w:val="22"/>
          <w:szCs w:val="22"/>
        </w:rPr>
        <w:t>Document for:</w:t>
      </w:r>
      <w:r w:rsidRPr="00C9608B">
        <w:rPr>
          <w:rFonts w:ascii="Arial" w:hAnsi="Arial" w:cs="Arial"/>
          <w:b/>
          <w:sz w:val="22"/>
          <w:szCs w:val="22"/>
        </w:rPr>
        <w:tab/>
      </w:r>
      <w:r>
        <w:rPr>
          <w:rFonts w:ascii="Arial" w:hAnsi="Arial" w:cs="Arial"/>
          <w:sz w:val="22"/>
          <w:szCs w:val="22"/>
        </w:rPr>
        <w:t>Approval</w:t>
      </w:r>
    </w:p>
    <w:p w:rsidR="007232AE" w:rsidRPr="00C14CE5" w:rsidRDefault="007232AE" w:rsidP="007232AE">
      <w:pPr>
        <w:pStyle w:val="Heading1"/>
        <w:tabs>
          <w:tab w:val="num" w:pos="432"/>
        </w:tabs>
        <w:ind w:left="432" w:hanging="432"/>
        <w:rPr>
          <w:rStyle w:val="Heading1Char1"/>
          <w:rFonts w:eastAsia="SimSun"/>
        </w:rPr>
      </w:pPr>
      <w:r w:rsidRPr="00C14CE5">
        <w:rPr>
          <w:rStyle w:val="Heading1Char1"/>
          <w:rFonts w:eastAsia="SimSun"/>
        </w:rPr>
        <w:t>1</w:t>
      </w:r>
      <w:r w:rsidRPr="00C14CE5">
        <w:rPr>
          <w:rStyle w:val="Heading1Char1"/>
          <w:rFonts w:eastAsia="SimSun"/>
        </w:rPr>
        <w:tab/>
        <w:t>Introduction</w:t>
      </w:r>
    </w:p>
    <w:p w:rsidR="0081469D" w:rsidRDefault="0081469D" w:rsidP="007232AE">
      <w:pPr>
        <w:rPr>
          <w:color w:val="000000"/>
          <w:lang w:eastAsia="zh-CN"/>
        </w:rPr>
      </w:pPr>
      <w:r>
        <w:rPr>
          <w:color w:val="000000"/>
          <w:lang w:eastAsia="zh-CN"/>
        </w:rPr>
        <w:t xml:space="preserve">As shown in </w:t>
      </w:r>
      <w:r w:rsidR="00CF3D12">
        <w:rPr>
          <w:color w:val="000000"/>
          <w:lang w:eastAsia="zh-CN"/>
        </w:rPr>
        <w:t xml:space="preserve">our previous paper </w:t>
      </w:r>
      <w:r>
        <w:rPr>
          <w:color w:val="000000"/>
          <w:lang w:eastAsia="zh-CN"/>
        </w:rPr>
        <w:t>[1]</w:t>
      </w:r>
      <w:r w:rsidR="00CF3D12">
        <w:rPr>
          <w:color w:val="000000"/>
          <w:lang w:eastAsia="zh-CN"/>
        </w:rPr>
        <w:t xml:space="preserve">, </w:t>
      </w:r>
      <w:r w:rsidR="00CF3D12">
        <w:t>a number of power class related UE capabilities have been introduced into 3GPP specifications in different releases, which potentially leads to some ambiguity in the applicable power class for the individual band of a NR CA band combination. In this paper, we further discuss the open issues as listed in the WF [2], and propose solutions to clarify the applicable requirements related to UE power classes. A companion CR is provided in [3].</w:t>
      </w:r>
    </w:p>
    <w:p w:rsidR="007232AE" w:rsidRPr="000F7612" w:rsidRDefault="007232AE" w:rsidP="007232AE">
      <w:pPr>
        <w:pStyle w:val="Heading1"/>
        <w:tabs>
          <w:tab w:val="num" w:pos="432"/>
        </w:tabs>
        <w:ind w:left="0" w:firstLine="0"/>
      </w:pPr>
      <w:r>
        <w:rPr>
          <w:rStyle w:val="Heading1Char1"/>
          <w:rFonts w:eastAsia="SimSun"/>
        </w:rPr>
        <w:t>2</w:t>
      </w:r>
      <w:r w:rsidRPr="00C14CE5">
        <w:rPr>
          <w:rStyle w:val="Heading1Char1"/>
          <w:rFonts w:eastAsia="SimSun"/>
        </w:rPr>
        <w:tab/>
      </w:r>
      <w:r>
        <w:rPr>
          <w:rStyle w:val="Heading1Char1"/>
          <w:rFonts w:eastAsia="SimSun"/>
        </w:rPr>
        <w:t>Discussion</w:t>
      </w:r>
    </w:p>
    <w:p w:rsidR="007232AE" w:rsidRDefault="00D57AD2" w:rsidP="008B53D7">
      <w:pPr>
        <w:pStyle w:val="Heading3"/>
      </w:pPr>
      <w:r>
        <w:t xml:space="preserve">2.1 </w:t>
      </w:r>
      <w:r w:rsidR="00FF7131">
        <w:t>Applicable power class</w:t>
      </w:r>
      <w:r w:rsidR="007C1E44">
        <w:t>es for UL inter-band CA</w:t>
      </w:r>
    </w:p>
    <w:p w:rsidR="00F56D0E" w:rsidRDefault="00F56D0E" w:rsidP="00F56D0E">
      <w:r>
        <w:t xml:space="preserve">Based on the </w:t>
      </w:r>
      <w:r w:rsidR="004736F9">
        <w:t xml:space="preserve">UE </w:t>
      </w:r>
      <w:r>
        <w:t xml:space="preserve">requirements specified in Clause 6.2A.4.1.3 Configured transmitted power for inter-band CA, it’s clear that the </w:t>
      </w:r>
      <w:r w:rsidR="004736F9">
        <w:t xml:space="preserve">maximum output power on individual bands/cells </w:t>
      </w:r>
      <w:proofErr w:type="spellStart"/>
      <w:proofErr w:type="gramStart"/>
      <w:r w:rsidR="004736F9" w:rsidRPr="00A1115A">
        <w:rPr>
          <w:rFonts w:cs="Vrinda"/>
          <w:lang w:bidi="bn-IN"/>
        </w:rPr>
        <w:t>P</w:t>
      </w:r>
      <w:r w:rsidR="004736F9" w:rsidRPr="00A1115A">
        <w:rPr>
          <w:rFonts w:cs="Vrinda"/>
          <w:vertAlign w:val="subscript"/>
          <w:lang w:bidi="bn-IN"/>
        </w:rPr>
        <w:t>CMAX</w:t>
      </w:r>
      <w:r w:rsidR="004736F9" w:rsidRPr="00A1115A">
        <w:rPr>
          <w:rFonts w:hint="eastAsia"/>
          <w:vertAlign w:val="subscript"/>
        </w:rPr>
        <w:t>,</w:t>
      </w:r>
      <w:r w:rsidR="004736F9" w:rsidRPr="00A1115A">
        <w:rPr>
          <w:i/>
          <w:vertAlign w:val="subscript"/>
        </w:rPr>
        <w:t>c</w:t>
      </w:r>
      <w:proofErr w:type="spellEnd"/>
      <w:proofErr w:type="gramEnd"/>
      <w:r w:rsidR="004736F9">
        <w:t xml:space="preserve"> can never exceed the maximum total output power </w:t>
      </w:r>
      <w:r w:rsidR="004736F9" w:rsidRPr="00A1115A">
        <w:rPr>
          <w:rFonts w:cs="Vrinda"/>
          <w:lang w:bidi="bn-IN"/>
        </w:rPr>
        <w:t>P</w:t>
      </w:r>
      <w:r w:rsidR="004736F9" w:rsidRPr="00A1115A">
        <w:rPr>
          <w:rFonts w:cs="Vrinda"/>
          <w:vertAlign w:val="subscript"/>
          <w:lang w:bidi="bn-IN"/>
        </w:rPr>
        <w:t>CMAX</w:t>
      </w:r>
      <w:r w:rsidR="004736F9">
        <w:t xml:space="preserve"> given by the power class of the band combination.</w:t>
      </w:r>
      <w:r w:rsidR="005F0E20">
        <w:t xml:space="preserve"> As a logical conclusion, the following observation is obtained:</w:t>
      </w:r>
    </w:p>
    <w:p w:rsidR="000C2089" w:rsidRPr="00C96D37" w:rsidRDefault="005F0E20" w:rsidP="008B53D7">
      <w:pPr>
        <w:rPr>
          <w:b/>
        </w:rPr>
      </w:pPr>
      <w:r w:rsidRPr="00C96D37">
        <w:rPr>
          <w:b/>
        </w:rPr>
        <w:t>Observation 1: The power class of a component band within an uplink inter-band CA combination shall not exceed the power class of the band combination itself.</w:t>
      </w:r>
    </w:p>
    <w:p w:rsidR="005F0E20" w:rsidRDefault="005F0E20" w:rsidP="008B53D7">
      <w:r>
        <w:t xml:space="preserve">According to the reply LS to RAN2 [4], there is consensus that the UE capability </w:t>
      </w:r>
      <w:r w:rsidRPr="0013277F">
        <w:rPr>
          <w:i/>
        </w:rPr>
        <w:t>ue-PowerClassPerBandPerBC-r17</w:t>
      </w:r>
      <w:r w:rsidR="00C96D37">
        <w:rPr>
          <w:i/>
        </w:rPr>
        <w:t xml:space="preserve"> </w:t>
      </w:r>
      <w:r w:rsidR="00C96D37">
        <w:t xml:space="preserve">is </w:t>
      </w:r>
      <w:r w:rsidR="00573888">
        <w:t xml:space="preserve">dedicated </w:t>
      </w:r>
      <w:r w:rsidR="00C96D37">
        <w:t>to indicate the power class for the individual bands within a band combination</w:t>
      </w:r>
      <w:r w:rsidR="00C8472D">
        <w:t xml:space="preserve"> without the need to check other RRC parameters. </w:t>
      </w:r>
    </w:p>
    <w:p w:rsidR="00C8472D" w:rsidRPr="00C8472D" w:rsidRDefault="00C8472D" w:rsidP="008B53D7">
      <w:pPr>
        <w:rPr>
          <w:b/>
        </w:rPr>
      </w:pPr>
      <w:r w:rsidRPr="00C8472D">
        <w:rPr>
          <w:b/>
        </w:rPr>
        <w:t xml:space="preserve">Observation 2: If signalled, the power class for the individual bands within a band combination is solely decided by the UE capability </w:t>
      </w:r>
      <w:r w:rsidRPr="00C8472D">
        <w:rPr>
          <w:b/>
          <w:i/>
        </w:rPr>
        <w:t>ue-PowerClassPerBandPerBC-r17</w:t>
      </w:r>
      <w:r w:rsidRPr="00C8472D">
        <w:rPr>
          <w:b/>
        </w:rPr>
        <w:t>.</w:t>
      </w:r>
      <w:r>
        <w:rPr>
          <w:b/>
        </w:rPr>
        <w:t xml:space="preserve"> </w:t>
      </w:r>
      <w:r w:rsidRPr="00C8472D">
        <w:rPr>
          <w:b/>
        </w:rPr>
        <w:t>It’s UE’s responsibility to ensure that the principle in observation 1 is followed</w:t>
      </w:r>
      <w:r w:rsidR="00121118">
        <w:rPr>
          <w:b/>
        </w:rPr>
        <w:t xml:space="preserve"> when reporting</w:t>
      </w:r>
      <w:r w:rsidRPr="00C8472D">
        <w:rPr>
          <w:b/>
        </w:rPr>
        <w:t>.</w:t>
      </w:r>
    </w:p>
    <w:p w:rsidR="00C8472D" w:rsidRDefault="008F31A1" w:rsidP="008B53D7">
      <w:r>
        <w:t xml:space="preserve">Since </w:t>
      </w:r>
      <w:r w:rsidR="006C740F">
        <w:t xml:space="preserve">the UE capability </w:t>
      </w:r>
      <w:r w:rsidR="006C740F" w:rsidRPr="0013277F">
        <w:rPr>
          <w:i/>
        </w:rPr>
        <w:t>ue-PowerClassPerBandPerBC-r17</w:t>
      </w:r>
      <w:r w:rsidR="006C740F">
        <w:rPr>
          <w:i/>
        </w:rPr>
        <w:t xml:space="preserve"> </w:t>
      </w:r>
      <w:r w:rsidR="006C740F">
        <w:t xml:space="preserve">is optional, it may not always be reported. As discussed before, the </w:t>
      </w:r>
      <w:r w:rsidR="006C6DF8">
        <w:t>default</w:t>
      </w:r>
      <w:r w:rsidR="006C740F">
        <w:t xml:space="preserve"> </w:t>
      </w:r>
      <w:r w:rsidR="006C6DF8">
        <w:t>power class</w:t>
      </w:r>
      <w:r w:rsidR="006C740F">
        <w:t xml:space="preserve"> could be </w:t>
      </w:r>
      <w:r w:rsidR="006C6DF8">
        <w:t xml:space="preserve">set to </w:t>
      </w:r>
      <w:proofErr w:type="gramStart"/>
      <w:r w:rsidR="006C740F">
        <w:t>min{</w:t>
      </w:r>
      <w:proofErr w:type="spellStart"/>
      <w:proofErr w:type="gramEnd"/>
      <w:r w:rsidR="006C740F">
        <w:t>ue-PowerClass</w:t>
      </w:r>
      <w:proofErr w:type="spellEnd"/>
      <w:r w:rsidR="006C740F">
        <w:t>, Power</w:t>
      </w:r>
      <w:r w:rsidR="00082F8A">
        <w:t xml:space="preserve"> </w:t>
      </w:r>
      <w:r w:rsidR="006C740F">
        <w:t>Class</w:t>
      </w:r>
      <w:r w:rsidR="00082F8A">
        <w:t xml:space="preserve"> for BC</w:t>
      </w:r>
      <w:r w:rsidR="006C740F">
        <w:t>} for individual bands</w:t>
      </w:r>
      <w:r w:rsidR="009818C7">
        <w:t>, which might save some signalling overhead when there is no ambiguity.</w:t>
      </w:r>
      <w:r w:rsidR="00891D9F">
        <w:t xml:space="preserve"> </w:t>
      </w:r>
    </w:p>
    <w:p w:rsidR="006C740F" w:rsidRPr="006C740F" w:rsidRDefault="006C740F" w:rsidP="008B53D7">
      <w:pPr>
        <w:rPr>
          <w:b/>
        </w:rPr>
      </w:pPr>
      <w:r w:rsidRPr="006C740F">
        <w:rPr>
          <w:b/>
        </w:rPr>
        <w:t xml:space="preserve">Observation 3: If the UE capability </w:t>
      </w:r>
      <w:r w:rsidRPr="006C740F">
        <w:rPr>
          <w:b/>
          <w:i/>
        </w:rPr>
        <w:t xml:space="preserve">ue-PowerClassPerBandPerBC-r17 </w:t>
      </w:r>
      <w:r w:rsidRPr="006C740F">
        <w:rPr>
          <w:b/>
        </w:rPr>
        <w:t>is absent, the power class for the individual bands within a band combination c</w:t>
      </w:r>
      <w:r w:rsidR="00891D9F">
        <w:rPr>
          <w:b/>
        </w:rPr>
        <w:t>an</w:t>
      </w:r>
      <w:r w:rsidRPr="006C740F">
        <w:rPr>
          <w:b/>
        </w:rPr>
        <w:t xml:space="preserve"> be determined as </w:t>
      </w:r>
      <w:proofErr w:type="gramStart"/>
      <w:r w:rsidRPr="006C740F">
        <w:rPr>
          <w:b/>
        </w:rPr>
        <w:t>min{</w:t>
      </w:r>
      <w:proofErr w:type="spellStart"/>
      <w:proofErr w:type="gramEnd"/>
      <w:r w:rsidRPr="006C740F">
        <w:rPr>
          <w:b/>
        </w:rPr>
        <w:t>ue-PowerClass</w:t>
      </w:r>
      <w:proofErr w:type="spellEnd"/>
      <w:r w:rsidRPr="006C740F">
        <w:rPr>
          <w:b/>
        </w:rPr>
        <w:t>, Power</w:t>
      </w:r>
      <w:r w:rsidR="00082F8A">
        <w:rPr>
          <w:b/>
        </w:rPr>
        <w:t xml:space="preserve"> </w:t>
      </w:r>
      <w:r w:rsidRPr="006C740F">
        <w:rPr>
          <w:b/>
        </w:rPr>
        <w:t>Class</w:t>
      </w:r>
      <w:r w:rsidR="00082F8A">
        <w:rPr>
          <w:b/>
        </w:rPr>
        <w:t xml:space="preserve"> for the BC</w:t>
      </w:r>
      <w:r w:rsidRPr="006C740F">
        <w:rPr>
          <w:b/>
        </w:rPr>
        <w:t>}. It’s UE’s responsibility to ensure that no power class ambiguity exists.</w:t>
      </w:r>
    </w:p>
    <w:p w:rsidR="008B53D7" w:rsidRDefault="008B53D7" w:rsidP="008B53D7">
      <w:pPr>
        <w:pStyle w:val="Heading3"/>
      </w:pPr>
      <w:r>
        <w:t xml:space="preserve">2.2 </w:t>
      </w:r>
      <w:r w:rsidR="007C1E44">
        <w:t>Applicable power classes for DL inter-band CA with single uplink carrier</w:t>
      </w:r>
    </w:p>
    <w:p w:rsidR="006B37EA" w:rsidRDefault="00C8025E" w:rsidP="00C8025E">
      <w:pPr>
        <w:rPr>
          <w:color w:val="000000"/>
          <w:lang w:val="en-US" w:eastAsia="zh-CN"/>
        </w:rPr>
      </w:pPr>
      <w:r>
        <w:rPr>
          <w:color w:val="000000"/>
          <w:lang w:val="en-US" w:eastAsia="zh-CN"/>
        </w:rPr>
        <w:t xml:space="preserve">The DL CA with single-carrier UL is a special form of band combinations. In previous discussions, it was proposed by some companies that the same power class indicated by </w:t>
      </w:r>
      <w:proofErr w:type="spellStart"/>
      <w:r w:rsidRPr="005C074C">
        <w:rPr>
          <w:i/>
          <w:color w:val="000000"/>
          <w:lang w:val="en-US" w:eastAsia="zh-CN"/>
        </w:rPr>
        <w:t>ue-PowerClass</w:t>
      </w:r>
      <w:proofErr w:type="spellEnd"/>
      <w:r>
        <w:rPr>
          <w:color w:val="000000"/>
          <w:lang w:val="en-US" w:eastAsia="zh-CN"/>
        </w:rPr>
        <w:t xml:space="preserve"> for </w:t>
      </w:r>
      <w:r w:rsidR="006B37EA">
        <w:rPr>
          <w:color w:val="000000"/>
          <w:lang w:val="en-US" w:eastAsia="zh-CN"/>
        </w:rPr>
        <w:t>the</w:t>
      </w:r>
      <w:r>
        <w:rPr>
          <w:color w:val="000000"/>
          <w:lang w:val="en-US" w:eastAsia="zh-CN"/>
        </w:rPr>
        <w:t xml:space="preserve"> UL band is reused when the band combination is configured. However, </w:t>
      </w:r>
      <w:r w:rsidR="006B37EA">
        <w:rPr>
          <w:color w:val="000000"/>
          <w:lang w:val="en-US" w:eastAsia="zh-CN"/>
        </w:rPr>
        <w:t>this may not be feasible since carrier aggregations have many complications compared with single-carrier op</w:t>
      </w:r>
      <w:r w:rsidR="009A3BAD">
        <w:rPr>
          <w:color w:val="000000"/>
          <w:lang w:val="en-US" w:eastAsia="zh-CN"/>
        </w:rPr>
        <w:t>era</w:t>
      </w:r>
      <w:r w:rsidR="006B37EA">
        <w:rPr>
          <w:color w:val="000000"/>
          <w:lang w:val="en-US" w:eastAsia="zh-CN"/>
        </w:rPr>
        <w:t>tions.</w:t>
      </w:r>
    </w:p>
    <w:p w:rsidR="00C8025E" w:rsidRDefault="006B37EA" w:rsidP="00C8025E">
      <w:pPr>
        <w:rPr>
          <w:color w:val="000000"/>
          <w:lang w:val="en-US" w:eastAsia="zh-CN"/>
        </w:rPr>
      </w:pPr>
      <w:r>
        <w:rPr>
          <w:color w:val="000000"/>
          <w:lang w:val="en-US" w:eastAsia="zh-CN"/>
        </w:rPr>
        <w:t xml:space="preserve">Firstly, </w:t>
      </w:r>
      <w:r w:rsidR="00C8025E">
        <w:rPr>
          <w:color w:val="000000"/>
          <w:lang w:val="en-US" w:eastAsia="zh-CN"/>
        </w:rPr>
        <w:t>the MSD requirement for this band combination may not be completed yet, which is the task of the corresponding HPUE basket work items.</w:t>
      </w:r>
      <w:r>
        <w:rPr>
          <w:color w:val="000000"/>
          <w:lang w:val="en-US" w:eastAsia="zh-CN"/>
        </w:rPr>
        <w:t xml:space="preserve"> The more bands in the DL CA, the more likely the MSD issue would happen.</w:t>
      </w:r>
    </w:p>
    <w:p w:rsidR="00C8025E" w:rsidRPr="00B056C5" w:rsidRDefault="00C8025E" w:rsidP="00C8025E">
      <w:pPr>
        <w:rPr>
          <w:b/>
          <w:color w:val="000000"/>
          <w:lang w:val="en-US" w:eastAsia="zh-CN"/>
        </w:rPr>
      </w:pPr>
      <w:r w:rsidRPr="00B056C5">
        <w:rPr>
          <w:b/>
          <w:color w:val="000000"/>
          <w:lang w:val="en-US" w:eastAsia="zh-CN"/>
        </w:rPr>
        <w:t xml:space="preserve">Observation </w:t>
      </w:r>
      <w:r w:rsidR="006B37EA">
        <w:rPr>
          <w:b/>
          <w:color w:val="000000"/>
          <w:lang w:val="en-US" w:eastAsia="zh-CN"/>
        </w:rPr>
        <w:t>4</w:t>
      </w:r>
      <w:r w:rsidRPr="00B056C5">
        <w:rPr>
          <w:b/>
          <w:color w:val="000000"/>
          <w:lang w:val="en-US" w:eastAsia="zh-CN"/>
        </w:rPr>
        <w:t xml:space="preserve">: </w:t>
      </w:r>
      <w:r>
        <w:rPr>
          <w:b/>
          <w:color w:val="000000"/>
          <w:lang w:val="en-US" w:eastAsia="zh-CN"/>
        </w:rPr>
        <w:t>Depending on the progress of the corresponding HPUE basket WI</w:t>
      </w:r>
      <w:r w:rsidRPr="00B056C5">
        <w:rPr>
          <w:b/>
          <w:color w:val="000000"/>
          <w:lang w:val="en-US" w:eastAsia="zh-CN"/>
        </w:rPr>
        <w:t xml:space="preserve">, it </w:t>
      </w:r>
      <w:r w:rsidR="006B37EA">
        <w:rPr>
          <w:b/>
          <w:color w:val="000000"/>
          <w:lang w:val="en-US" w:eastAsia="zh-CN"/>
        </w:rPr>
        <w:t xml:space="preserve">may </w:t>
      </w:r>
      <w:r w:rsidRPr="00B056C5">
        <w:rPr>
          <w:b/>
          <w:color w:val="000000"/>
          <w:lang w:val="en-US" w:eastAsia="zh-CN"/>
        </w:rPr>
        <w:t xml:space="preserve">not </w:t>
      </w:r>
      <w:r w:rsidR="006B37EA">
        <w:rPr>
          <w:b/>
          <w:color w:val="000000"/>
          <w:lang w:val="en-US" w:eastAsia="zh-CN"/>
        </w:rPr>
        <w:t>be feasible</w:t>
      </w:r>
      <w:r w:rsidRPr="00B056C5">
        <w:rPr>
          <w:b/>
          <w:color w:val="000000"/>
          <w:lang w:val="en-US" w:eastAsia="zh-CN"/>
        </w:rPr>
        <w:t xml:space="preserve"> to apply the </w:t>
      </w:r>
      <w:r>
        <w:rPr>
          <w:b/>
          <w:color w:val="000000"/>
          <w:lang w:val="en-US" w:eastAsia="zh-CN"/>
        </w:rPr>
        <w:t xml:space="preserve">single-band </w:t>
      </w:r>
      <w:r w:rsidRPr="00B056C5">
        <w:rPr>
          <w:b/>
          <w:color w:val="000000"/>
          <w:lang w:val="en-US" w:eastAsia="zh-CN"/>
        </w:rPr>
        <w:t>power class (</w:t>
      </w:r>
      <w:proofErr w:type="spellStart"/>
      <w:r w:rsidRPr="00B056C5">
        <w:rPr>
          <w:b/>
          <w:i/>
          <w:color w:val="000000"/>
          <w:lang w:val="en-US" w:eastAsia="zh-CN"/>
        </w:rPr>
        <w:t>ue-PowerClass</w:t>
      </w:r>
      <w:proofErr w:type="spellEnd"/>
      <w:r w:rsidRPr="00B056C5">
        <w:rPr>
          <w:b/>
          <w:color w:val="000000"/>
          <w:lang w:val="en-US" w:eastAsia="zh-CN"/>
        </w:rPr>
        <w:t>) for the single-carrier UL with DL CA</w:t>
      </w:r>
      <w:r w:rsidR="006B37EA">
        <w:rPr>
          <w:b/>
          <w:color w:val="000000"/>
          <w:lang w:val="en-US" w:eastAsia="zh-CN"/>
        </w:rPr>
        <w:t>, since the MSD requirements m</w:t>
      </w:r>
      <w:r w:rsidR="00F11C58">
        <w:rPr>
          <w:b/>
          <w:color w:val="000000"/>
          <w:lang w:val="en-US" w:eastAsia="zh-CN"/>
        </w:rPr>
        <w:t>ight</w:t>
      </w:r>
      <w:r w:rsidR="006B37EA">
        <w:rPr>
          <w:b/>
          <w:color w:val="000000"/>
          <w:lang w:val="en-US" w:eastAsia="zh-CN"/>
        </w:rPr>
        <w:t xml:space="preserve"> be incomplete</w:t>
      </w:r>
      <w:r w:rsidRPr="00B056C5">
        <w:rPr>
          <w:b/>
          <w:color w:val="000000"/>
          <w:lang w:val="en-US" w:eastAsia="zh-CN"/>
        </w:rPr>
        <w:t>.</w:t>
      </w:r>
    </w:p>
    <w:p w:rsidR="00C8025E" w:rsidRDefault="00C8025E" w:rsidP="00C8025E">
      <w:pPr>
        <w:rPr>
          <w:color w:val="000000"/>
          <w:lang w:val="en-US" w:eastAsia="zh-CN"/>
        </w:rPr>
      </w:pPr>
      <w:r>
        <w:rPr>
          <w:color w:val="000000"/>
          <w:lang w:val="en-US" w:eastAsia="zh-CN"/>
        </w:rPr>
        <w:lastRenderedPageBreak/>
        <w:t>Furthermore, in Rel-16 TS 38.101-1 [6], it’s explicitly specified that PC2 is not applicable for band n41, n77, n78 and n79 when DL CA is configured. The corresponding requirements are duplicated below.</w:t>
      </w:r>
    </w:p>
    <w:p w:rsidR="00C8025E" w:rsidRDefault="002D4959" w:rsidP="00C8025E">
      <w:pPr>
        <w:rPr>
          <w:color w:val="000000"/>
          <w:lang w:val="en-US" w:eastAsia="zh-CN"/>
        </w:rPr>
      </w:pPr>
      <w:r>
        <w:rPr>
          <w:color w:val="000000"/>
          <w:lang w:val="en-US" w:eastAsia="zh-CN"/>
        </w:rPr>
      </w:r>
      <w:r>
        <w:rPr>
          <w:color w:val="000000"/>
          <w:lang w:val="en-US" w:eastAsia="zh-CN"/>
        </w:rPr>
        <w:pict>
          <v:shapetype id="_x0000_t202" coordsize="21600,21600" o:spt="202" path="m,l,21600r21600,l21600,xe">
            <v:stroke joinstyle="miter"/>
            <v:path gradientshapeok="t" o:connecttype="rect"/>
          </v:shapetype>
          <v:shape id="Text Box 2" o:spid="_x0000_s1027" type="#_x0000_t202" style="width:485.9pt;height:199.4pt;visibility:visible;mso-left-percent:-10001;mso-top-percent:-10001;mso-wrap-distance-left:9pt;mso-wrap-distance-top:3.6pt;mso-wrap-distance-right:9pt;mso-wrap-distance-bottom:3.6pt;mso-position-horizontal:absolute;mso-position-horizontal-relative:char;mso-position-vertical:absolute;mso-position-vertical-relative:line;mso-left-percent:-10001;mso-top-percent:-10001;mso-width-relative:margin;mso-height-relative:margin;v-text-anchor:top">
            <v:textbox>
              <w:txbxContent>
                <w:p w:rsidR="00C8025E" w:rsidRPr="001C0CC4" w:rsidRDefault="00C8025E" w:rsidP="00C8025E">
                  <w:pPr>
                    <w:pStyle w:val="Heading4"/>
                  </w:pPr>
                  <w:r w:rsidRPr="001C0CC4">
                    <w:t>6.2A.1.3</w:t>
                  </w:r>
                  <w:r w:rsidRPr="001C0CC4">
                    <w:tab/>
                    <w:t>UE maximum output power for Inter-band CA</w:t>
                  </w:r>
                </w:p>
                <w:p w:rsidR="00C8025E" w:rsidRDefault="00C8025E" w:rsidP="00C8025E">
                  <w:r>
                    <w:t>For inter-band downlink carrier aggregation with one uplink carrier assigned to one NR band, the transmitter power requirements in clause 6.2 apply.</w:t>
                  </w:r>
                </w:p>
                <w:p w:rsidR="00C8025E" w:rsidRDefault="00C8025E" w:rsidP="00C8025E">
                  <w:r>
                    <w:rPr>
                      <w:rFonts w:cs="v5.0.0"/>
                    </w:rPr>
                    <w:t xml:space="preserve">For inter-band carrier aggregation with two uplink contiguous carrier assigned to one </w:t>
                  </w:r>
                  <w:r>
                    <w:rPr>
                      <w:rFonts w:cs="v5.0.0" w:hint="eastAsia"/>
                      <w:lang w:val="en-US" w:eastAsia="zh-CN"/>
                    </w:rPr>
                    <w:t>NR</w:t>
                  </w:r>
                  <w:r>
                    <w:rPr>
                      <w:rFonts w:cs="v5.0.0"/>
                    </w:rPr>
                    <w:t xml:space="preserve"> band</w:t>
                  </w:r>
                  <w:r>
                    <w:rPr>
                      <w:rFonts w:cs="v5.0.0" w:hint="eastAsia"/>
                      <w:lang w:val="en-US" w:eastAsia="zh-CN"/>
                    </w:rPr>
                    <w:t>,</w:t>
                  </w:r>
                  <w:r>
                    <w:rPr>
                      <w:rFonts w:cs="v5.0.0"/>
                    </w:rPr>
                    <w:t xml:space="preserve"> the </w:t>
                  </w:r>
                  <w:r>
                    <w:t>transmitter power</w:t>
                  </w:r>
                  <w:r>
                    <w:rPr>
                      <w:rFonts w:hint="eastAsia"/>
                      <w:lang w:val="en-US" w:eastAsia="zh-CN"/>
                    </w:rPr>
                    <w:t xml:space="preserve"> </w:t>
                  </w:r>
                  <w:r>
                    <w:rPr>
                      <w:rFonts w:cs="v5.0.0"/>
                    </w:rPr>
                    <w:t xml:space="preserve">requirements specified in </w:t>
                  </w:r>
                  <w:r>
                    <w:rPr>
                      <w:rFonts w:cs="v5.0.0" w:hint="eastAsia"/>
                      <w:lang w:val="en-US" w:eastAsia="zh-CN"/>
                    </w:rPr>
                    <w:t>sub</w:t>
                  </w:r>
                  <w:r>
                    <w:t>clause 6.2A.1.1</w:t>
                  </w:r>
                  <w:r>
                    <w:rPr>
                      <w:rFonts w:hint="eastAsia"/>
                      <w:lang w:val="en-US" w:eastAsia="zh-CN"/>
                    </w:rPr>
                    <w:t xml:space="preserve"> apply. </w:t>
                  </w:r>
                </w:p>
                <w:p w:rsidR="00C8025E" w:rsidRDefault="00C8025E" w:rsidP="00C8025E">
                  <w:r>
                    <w:t xml:space="preserve">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w:t>
                  </w:r>
                  <w:proofErr w:type="spellStart"/>
                  <w:r>
                    <w:t>ms</w:t>
                  </w:r>
                  <w:proofErr w:type="spellEnd"/>
                  <w:r>
                    <w:t>). The maximum output power is specified in Table 6.2A.1.3-1.</w:t>
                  </w:r>
                </w:p>
                <w:p w:rsidR="00C8025E" w:rsidRDefault="00C8025E" w:rsidP="00C8025E">
                  <w:pPr>
                    <w:rPr>
                      <w:lang w:eastAsia="zh-CN"/>
                    </w:rPr>
                  </w:pPr>
                  <w:r w:rsidRPr="009D61DD">
                    <w:rPr>
                      <w:highlight w:val="yellow"/>
                    </w:rPr>
                    <w:t xml:space="preserve">For </w:t>
                  </w:r>
                  <w:r w:rsidRPr="009D61DD">
                    <w:rPr>
                      <w:rFonts w:hint="eastAsia"/>
                      <w:highlight w:val="yellow"/>
                      <w:lang w:eastAsia="zh-CN"/>
                    </w:rPr>
                    <w:t xml:space="preserve">PC3 </w:t>
                  </w:r>
                  <w:r w:rsidRPr="009D61DD">
                    <w:rPr>
                      <w:highlight w:val="yellow"/>
                    </w:rPr>
                    <w:t>inter-band carrier aggregation with one uplink component carrier assigned to one NR band in NR band n41, n77, n78, and n79, the requirements for power class 2 are not applicable and the corresponding requirements for a power class 3 UE shall apply</w:t>
                  </w:r>
                  <w:r w:rsidRPr="009D61DD">
                    <w:rPr>
                      <w:rFonts w:hint="eastAsia"/>
                      <w:highlight w:val="yellow"/>
                      <w:lang w:eastAsia="zh-CN"/>
                    </w:rPr>
                    <w:t>.</w:t>
                  </w:r>
                </w:p>
                <w:p w:rsidR="00C8025E" w:rsidRDefault="00C8025E" w:rsidP="00C8025E"/>
              </w:txbxContent>
            </v:textbox>
            <w10:anchorlock/>
          </v:shape>
        </w:pict>
      </w:r>
    </w:p>
    <w:p w:rsidR="00C8025E" w:rsidRPr="00547162" w:rsidRDefault="00C8025E" w:rsidP="00C8025E">
      <w:pPr>
        <w:rPr>
          <w:b/>
          <w:color w:val="000000"/>
          <w:lang w:val="en-US" w:eastAsia="zh-CN"/>
        </w:rPr>
      </w:pPr>
      <w:r w:rsidRPr="00547162">
        <w:rPr>
          <w:b/>
          <w:color w:val="000000"/>
          <w:lang w:val="en-US" w:eastAsia="zh-CN"/>
        </w:rPr>
        <w:t xml:space="preserve">Observation </w:t>
      </w:r>
      <w:r w:rsidR="006B37EA">
        <w:rPr>
          <w:b/>
          <w:color w:val="000000"/>
          <w:lang w:val="en-US" w:eastAsia="zh-CN"/>
        </w:rPr>
        <w:t>5</w:t>
      </w:r>
      <w:r w:rsidRPr="00547162">
        <w:rPr>
          <w:b/>
          <w:color w:val="000000"/>
          <w:lang w:val="en-US" w:eastAsia="zh-CN"/>
        </w:rPr>
        <w:t xml:space="preserve">: In Rel-16, power class 2 may be indicated (via </w:t>
      </w:r>
      <w:proofErr w:type="spellStart"/>
      <w:r w:rsidRPr="00547162">
        <w:rPr>
          <w:b/>
          <w:i/>
          <w:color w:val="000000"/>
          <w:lang w:val="en-US" w:eastAsia="zh-CN"/>
        </w:rPr>
        <w:t>ue-PowerClass</w:t>
      </w:r>
      <w:proofErr w:type="spellEnd"/>
      <w:r w:rsidRPr="00547162">
        <w:rPr>
          <w:b/>
          <w:color w:val="000000"/>
          <w:lang w:val="en-US" w:eastAsia="zh-CN"/>
        </w:rPr>
        <w:t xml:space="preserve"> or its extensions) for band n41, n77, n78 and n79, but it’s not applicable when DL CA is configured.</w:t>
      </w:r>
      <w:r w:rsidR="006B37EA">
        <w:rPr>
          <w:b/>
          <w:color w:val="000000"/>
          <w:lang w:val="en-US" w:eastAsia="zh-CN"/>
        </w:rPr>
        <w:t xml:space="preserve"> Instead, the </w:t>
      </w:r>
      <w:proofErr w:type="spellStart"/>
      <w:r w:rsidR="006B37EA" w:rsidRPr="006B37EA">
        <w:rPr>
          <w:b/>
          <w:i/>
          <w:color w:val="000000"/>
          <w:lang w:val="en-US" w:eastAsia="zh-CN"/>
        </w:rPr>
        <w:t>powerClass</w:t>
      </w:r>
      <w:proofErr w:type="spellEnd"/>
      <w:r w:rsidR="006B37EA">
        <w:rPr>
          <w:b/>
          <w:color w:val="000000"/>
          <w:lang w:val="en-US" w:eastAsia="zh-CN"/>
        </w:rPr>
        <w:t xml:space="preserve"> field in </w:t>
      </w:r>
      <w:proofErr w:type="spellStart"/>
      <w:r w:rsidR="006B37EA" w:rsidRPr="006B37EA">
        <w:rPr>
          <w:b/>
          <w:i/>
          <w:color w:val="000000"/>
          <w:lang w:val="en-US" w:eastAsia="zh-CN"/>
        </w:rPr>
        <w:t>BandCombination</w:t>
      </w:r>
      <w:proofErr w:type="spellEnd"/>
      <w:r w:rsidR="006B37EA">
        <w:rPr>
          <w:b/>
          <w:color w:val="000000"/>
          <w:lang w:val="en-US" w:eastAsia="zh-CN"/>
        </w:rPr>
        <w:t xml:space="preserve"> IE could be used to indicate the valid power class.</w:t>
      </w:r>
    </w:p>
    <w:p w:rsidR="00C8025E" w:rsidRDefault="0032780A" w:rsidP="00C8025E">
      <w:pPr>
        <w:rPr>
          <w:color w:val="000000"/>
          <w:lang w:val="en-US" w:eastAsia="zh-CN"/>
        </w:rPr>
      </w:pPr>
      <w:r>
        <w:rPr>
          <w:color w:val="000000"/>
          <w:lang w:val="en-US" w:eastAsia="zh-CN"/>
        </w:rPr>
        <w:t>Furthermore, in practical UE implementations of RF transceivers, the RF</w:t>
      </w:r>
      <w:r w:rsidR="00862BD3">
        <w:rPr>
          <w:color w:val="000000"/>
          <w:lang w:val="en-US" w:eastAsia="zh-CN"/>
        </w:rPr>
        <w:t xml:space="preserve"> path may differ between single-carrier operations and CA aggregations</w:t>
      </w:r>
      <w:r w:rsidR="00C8025E">
        <w:rPr>
          <w:color w:val="000000"/>
          <w:lang w:val="en-US" w:eastAsia="zh-CN"/>
        </w:rPr>
        <w:t>.</w:t>
      </w:r>
      <w:r w:rsidR="00862BD3">
        <w:rPr>
          <w:color w:val="000000"/>
          <w:lang w:val="en-US" w:eastAsia="zh-CN"/>
        </w:rPr>
        <w:t xml:space="preserve"> As a result, the insertion loss, filter attenuation and </w:t>
      </w:r>
      <w:r w:rsidR="00965B4E">
        <w:rPr>
          <w:color w:val="000000"/>
          <w:lang w:val="en-US" w:eastAsia="zh-CN"/>
        </w:rPr>
        <w:t>etc.</w:t>
      </w:r>
      <w:r w:rsidR="00862BD3">
        <w:rPr>
          <w:color w:val="000000"/>
          <w:lang w:val="en-US" w:eastAsia="zh-CN"/>
        </w:rPr>
        <w:t xml:space="preserve"> could vary. With the increase of number of DL bands in the CA, the power consumption and heat dissipation would become more challenging, and the UE may not wish to maintain the same power class as indicated in </w:t>
      </w:r>
      <w:proofErr w:type="spellStart"/>
      <w:r w:rsidR="00862BD3" w:rsidRPr="00862BD3">
        <w:rPr>
          <w:i/>
          <w:color w:val="000000"/>
          <w:lang w:val="en-US" w:eastAsia="zh-CN"/>
        </w:rPr>
        <w:t>ue-PowerClass</w:t>
      </w:r>
      <w:proofErr w:type="spellEnd"/>
      <w:r w:rsidR="00965B4E">
        <w:rPr>
          <w:color w:val="000000"/>
          <w:lang w:val="en-US" w:eastAsia="zh-CN"/>
        </w:rPr>
        <w:t>, especially PC1.5 for handheld UEs.</w:t>
      </w:r>
    </w:p>
    <w:p w:rsidR="00C8025E" w:rsidRPr="009F579A" w:rsidRDefault="00C8025E" w:rsidP="00C8025E">
      <w:pPr>
        <w:rPr>
          <w:b/>
          <w:color w:val="000000"/>
          <w:lang w:val="en-US" w:eastAsia="zh-CN"/>
        </w:rPr>
      </w:pPr>
      <w:r>
        <w:rPr>
          <w:b/>
          <w:color w:val="000000"/>
          <w:lang w:val="en-US" w:eastAsia="zh-CN"/>
        </w:rPr>
        <w:t xml:space="preserve">Observation </w:t>
      </w:r>
      <w:r w:rsidR="00862BD3">
        <w:rPr>
          <w:b/>
          <w:color w:val="000000"/>
          <w:lang w:val="en-US" w:eastAsia="zh-CN"/>
        </w:rPr>
        <w:t>6</w:t>
      </w:r>
      <w:r w:rsidRPr="009F579A">
        <w:rPr>
          <w:b/>
          <w:color w:val="000000"/>
          <w:lang w:val="en-US" w:eastAsia="zh-CN"/>
        </w:rPr>
        <w:t xml:space="preserve">: </w:t>
      </w:r>
      <w:r w:rsidR="00862BD3">
        <w:rPr>
          <w:b/>
          <w:color w:val="000000"/>
          <w:lang w:val="en-US" w:eastAsia="zh-CN"/>
        </w:rPr>
        <w:t xml:space="preserve">For practical implementation issues, it’s necessary to allow the UE to report a different power class for DL CA with single uplink carrier than the power class </w:t>
      </w:r>
      <w:r w:rsidR="00452783">
        <w:rPr>
          <w:b/>
          <w:color w:val="000000"/>
          <w:lang w:val="en-US" w:eastAsia="zh-CN"/>
        </w:rPr>
        <w:t xml:space="preserve">for single-carrier operations without CA (as </w:t>
      </w:r>
      <w:r w:rsidR="00862BD3">
        <w:rPr>
          <w:b/>
          <w:color w:val="000000"/>
          <w:lang w:val="en-US" w:eastAsia="zh-CN"/>
        </w:rPr>
        <w:t xml:space="preserve">indicated in </w:t>
      </w:r>
      <w:proofErr w:type="spellStart"/>
      <w:r w:rsidR="00862BD3" w:rsidRPr="00862BD3">
        <w:rPr>
          <w:b/>
          <w:i/>
          <w:color w:val="000000"/>
          <w:lang w:val="en-US" w:eastAsia="zh-CN"/>
        </w:rPr>
        <w:t>ue-PowerClass</w:t>
      </w:r>
      <w:proofErr w:type="spellEnd"/>
      <w:r w:rsidR="00452783" w:rsidRPr="00452783">
        <w:rPr>
          <w:b/>
          <w:color w:val="000000"/>
          <w:lang w:val="en-US" w:eastAsia="zh-CN"/>
        </w:rPr>
        <w:t>)</w:t>
      </w:r>
      <w:r w:rsidRPr="009F579A">
        <w:rPr>
          <w:b/>
          <w:color w:val="000000"/>
          <w:lang w:val="en-US" w:eastAsia="zh-CN"/>
        </w:rPr>
        <w:t>.</w:t>
      </w:r>
    </w:p>
    <w:p w:rsidR="00F4467D" w:rsidRDefault="00D60833" w:rsidP="00DB62F7">
      <w:pPr>
        <w:rPr>
          <w:lang w:val="en-US"/>
        </w:rPr>
      </w:pPr>
      <w:r w:rsidRPr="00D60833">
        <w:rPr>
          <w:lang w:val="en-US"/>
        </w:rPr>
        <w:t>DL CA with single</w:t>
      </w:r>
      <w:r>
        <w:rPr>
          <w:lang w:val="en-US"/>
        </w:rPr>
        <w:t xml:space="preserve"> uplink carrier may be viewed as the fallback of the same DL CA with UL CA. For example, DL_CA_n1</w:t>
      </w:r>
      <w:r w:rsidR="00C17F1A">
        <w:rPr>
          <w:lang w:val="en-US"/>
        </w:rPr>
        <w:t>A</w:t>
      </w:r>
      <w:r>
        <w:rPr>
          <w:lang w:val="en-US"/>
        </w:rPr>
        <w:t>-n78</w:t>
      </w:r>
      <w:r w:rsidR="00C17F1A">
        <w:rPr>
          <w:lang w:val="en-US"/>
        </w:rPr>
        <w:t>A</w:t>
      </w:r>
      <w:r>
        <w:rPr>
          <w:lang w:val="en-US"/>
        </w:rPr>
        <w:t>_UL_n1 and DL_CA_n1-n78_UL_n78 are the fallbacks of DL_CA_n1</w:t>
      </w:r>
      <w:r w:rsidR="00C17F1A">
        <w:rPr>
          <w:lang w:val="en-US"/>
        </w:rPr>
        <w:t>A</w:t>
      </w:r>
      <w:r>
        <w:rPr>
          <w:lang w:val="en-US"/>
        </w:rPr>
        <w:t>-n78</w:t>
      </w:r>
      <w:r w:rsidR="00C17F1A">
        <w:rPr>
          <w:lang w:val="en-US"/>
        </w:rPr>
        <w:t>A</w:t>
      </w:r>
      <w:r>
        <w:rPr>
          <w:lang w:val="en-US"/>
        </w:rPr>
        <w:t>_UL_n1</w:t>
      </w:r>
      <w:r w:rsidR="00C17F1A">
        <w:rPr>
          <w:lang w:val="en-US"/>
        </w:rPr>
        <w:t>A</w:t>
      </w:r>
      <w:r>
        <w:rPr>
          <w:lang w:val="en-US"/>
        </w:rPr>
        <w:t>-n78</w:t>
      </w:r>
      <w:r w:rsidR="00C17F1A">
        <w:rPr>
          <w:lang w:val="en-US"/>
        </w:rPr>
        <w:t xml:space="preserve">A. </w:t>
      </w:r>
    </w:p>
    <w:p w:rsidR="00183F66" w:rsidRDefault="007B4DDF" w:rsidP="00DB62F7">
      <w:pPr>
        <w:rPr>
          <w:lang w:val="en-US"/>
        </w:rPr>
      </w:pPr>
      <w:r>
        <w:rPr>
          <w:lang w:val="en-US"/>
        </w:rPr>
        <w:t>A UE doesn’t need to explicitly report the fallback combinations, which implies that the same</w:t>
      </w:r>
      <w:r w:rsidR="00DD482F">
        <w:rPr>
          <w:lang w:val="en-US"/>
        </w:rPr>
        <w:t xml:space="preserve"> or lower</w:t>
      </w:r>
      <w:r>
        <w:rPr>
          <w:lang w:val="en-US"/>
        </w:rPr>
        <w:t xml:space="preserve"> power class </w:t>
      </w:r>
      <w:r w:rsidR="0017009B">
        <w:rPr>
          <w:rFonts w:hint="eastAsia"/>
          <w:lang w:val="en-US" w:eastAsia="zh-CN"/>
        </w:rPr>
        <w:t>may</w:t>
      </w:r>
      <w:r>
        <w:rPr>
          <w:lang w:val="en-US"/>
        </w:rPr>
        <w:t xml:space="preserve"> be supported. Otherwise, the UE need</w:t>
      </w:r>
      <w:r w:rsidR="00DD482F">
        <w:rPr>
          <w:lang w:val="en-US"/>
        </w:rPr>
        <w:t>s</w:t>
      </w:r>
      <w:r>
        <w:rPr>
          <w:lang w:val="en-US"/>
        </w:rPr>
        <w:t xml:space="preserve"> to report the fallback combinations supporting higher power classes</w:t>
      </w:r>
      <w:r w:rsidR="0017009B">
        <w:rPr>
          <w:lang w:val="en-US"/>
        </w:rPr>
        <w:t xml:space="preserve"> explicitly in a separate band combination entry</w:t>
      </w:r>
      <w:r>
        <w:rPr>
          <w:lang w:val="en-US"/>
        </w:rPr>
        <w:t>.</w:t>
      </w:r>
    </w:p>
    <w:p w:rsidR="00A2347C" w:rsidRDefault="00E43BEB" w:rsidP="00DB62F7">
      <w:pPr>
        <w:rPr>
          <w:lang w:val="en-US"/>
        </w:rPr>
      </w:pPr>
      <w:r>
        <w:rPr>
          <w:lang w:val="en-US"/>
        </w:rPr>
        <w:t>For example, a</w:t>
      </w:r>
      <w:r w:rsidR="00350A96">
        <w:rPr>
          <w:lang w:val="en-US"/>
        </w:rPr>
        <w:t>ssuming the UE has report</w:t>
      </w:r>
      <w:r w:rsidR="00073DC2">
        <w:rPr>
          <w:lang w:val="en-US"/>
        </w:rPr>
        <w:t>ed</w:t>
      </w:r>
      <w:r w:rsidR="00350A96">
        <w:rPr>
          <w:lang w:val="en-US"/>
        </w:rPr>
        <w:t xml:space="preserve"> the following information to the network:</w:t>
      </w:r>
    </w:p>
    <w:p w:rsidR="00350A96" w:rsidRDefault="00350A96" w:rsidP="00350A96">
      <w:pPr>
        <w:ind w:firstLine="720"/>
        <w:rPr>
          <w:lang w:val="en-US"/>
        </w:rPr>
      </w:pPr>
      <w:r>
        <w:rPr>
          <w:lang w:val="en-US"/>
        </w:rPr>
        <w:t>Band n1: PC3, Band n78: PC1.5, DL_CA_n1A-n78A_UL_CA_n1A-n78A: PC2</w:t>
      </w:r>
      <w:r w:rsidR="00073DC2">
        <w:rPr>
          <w:lang w:val="en-US"/>
        </w:rPr>
        <w:t>.</w:t>
      </w:r>
    </w:p>
    <w:p w:rsidR="00350A96" w:rsidRDefault="00073DC2" w:rsidP="00DB62F7">
      <w:pPr>
        <w:rPr>
          <w:lang w:val="en-US"/>
        </w:rPr>
      </w:pPr>
      <w:r>
        <w:rPr>
          <w:lang w:val="en-US"/>
        </w:rPr>
        <w:t>This implies that the power class for the fallbacks are:</w:t>
      </w:r>
    </w:p>
    <w:p w:rsidR="00073DC2" w:rsidRDefault="00073DC2" w:rsidP="00DB62F7">
      <w:pPr>
        <w:rPr>
          <w:lang w:val="en-US"/>
        </w:rPr>
      </w:pPr>
      <w:r>
        <w:rPr>
          <w:lang w:val="en-US"/>
        </w:rPr>
        <w:tab/>
        <w:t xml:space="preserve">DL_CA_n1A-n78A_UL_n1: </w:t>
      </w:r>
      <w:proofErr w:type="gramStart"/>
      <w:r>
        <w:rPr>
          <w:lang w:val="en-US"/>
        </w:rPr>
        <w:t>min{</w:t>
      </w:r>
      <w:proofErr w:type="gramEnd"/>
      <w:r>
        <w:rPr>
          <w:lang w:val="en-US"/>
        </w:rPr>
        <w:t>PC3, PC2}=PC3,</w:t>
      </w:r>
    </w:p>
    <w:p w:rsidR="00073DC2" w:rsidRDefault="00073DC2" w:rsidP="00073DC2">
      <w:pPr>
        <w:rPr>
          <w:lang w:val="en-US"/>
        </w:rPr>
      </w:pPr>
      <w:r>
        <w:rPr>
          <w:lang w:val="en-US"/>
        </w:rPr>
        <w:tab/>
        <w:t xml:space="preserve">DL_CA_n1A-n78A_UL_n78: </w:t>
      </w:r>
      <w:proofErr w:type="gramStart"/>
      <w:r>
        <w:rPr>
          <w:lang w:val="en-US"/>
        </w:rPr>
        <w:t>min{</w:t>
      </w:r>
      <w:proofErr w:type="gramEnd"/>
      <w:r>
        <w:rPr>
          <w:lang w:val="en-US"/>
        </w:rPr>
        <w:t>PC1.5, PC2)=PC2.</w:t>
      </w:r>
    </w:p>
    <w:p w:rsidR="00025662" w:rsidRPr="00D60833" w:rsidRDefault="00025662" w:rsidP="00073DC2">
      <w:pPr>
        <w:rPr>
          <w:lang w:val="en-US"/>
        </w:rPr>
      </w:pPr>
      <w:r>
        <w:rPr>
          <w:lang w:val="en-US"/>
        </w:rPr>
        <w:t xml:space="preserve">If the UE intends to support PC1.5 for DL_CA_n1A-n78A_UL_n78, it needs to report it via </w:t>
      </w:r>
      <w:r w:rsidR="0017009B">
        <w:rPr>
          <w:lang w:val="en-US"/>
        </w:rPr>
        <w:t xml:space="preserve">a separate band combination entry with </w:t>
      </w:r>
      <w:r>
        <w:rPr>
          <w:lang w:val="en-US"/>
        </w:rPr>
        <w:t xml:space="preserve">the field of </w:t>
      </w:r>
      <w:proofErr w:type="spellStart"/>
      <w:r w:rsidRPr="00025662">
        <w:rPr>
          <w:i/>
          <w:lang w:val="en-US"/>
        </w:rPr>
        <w:t>powerClass</w:t>
      </w:r>
      <w:proofErr w:type="spellEnd"/>
      <w:r>
        <w:rPr>
          <w:lang w:val="en-US"/>
        </w:rPr>
        <w:t xml:space="preserve"> </w:t>
      </w:r>
      <w:r w:rsidR="0017009B">
        <w:rPr>
          <w:lang w:val="en-US"/>
        </w:rPr>
        <w:t>set to PC1.5</w:t>
      </w:r>
      <w:r>
        <w:rPr>
          <w:lang w:val="en-US"/>
        </w:rPr>
        <w:t>.</w:t>
      </w:r>
    </w:p>
    <w:p w:rsidR="00C8025E" w:rsidRDefault="00654B1B" w:rsidP="00DB62F7">
      <w:pPr>
        <w:rPr>
          <w:b/>
          <w:lang w:val="en-US"/>
        </w:rPr>
      </w:pPr>
      <w:r w:rsidRPr="00654B1B">
        <w:rPr>
          <w:b/>
          <w:lang w:val="en-US"/>
        </w:rPr>
        <w:t>Proposal 1: For downlink CA with a single uplink carrier, the power class for the UL shall be the lower of the following two values: the power class of the band combination and the power class of the band for single-carrier operations</w:t>
      </w:r>
      <w:r w:rsidR="00A02C38">
        <w:rPr>
          <w:b/>
          <w:lang w:val="en-US"/>
        </w:rPr>
        <w:t xml:space="preserve"> without CA</w:t>
      </w:r>
      <w:r w:rsidRPr="00654B1B">
        <w:rPr>
          <w:b/>
          <w:lang w:val="en-US"/>
        </w:rPr>
        <w:t>.</w:t>
      </w:r>
    </w:p>
    <w:p w:rsidR="00654B1B" w:rsidRDefault="00654B1B" w:rsidP="00654B1B">
      <w:pPr>
        <w:pStyle w:val="Heading3"/>
      </w:pPr>
      <w:r>
        <w:t>2.3 Applicable power classes for DL intra-band CA with single uplink carrier</w:t>
      </w:r>
    </w:p>
    <w:p w:rsidR="00654B1B" w:rsidRDefault="00654B1B" w:rsidP="00DB62F7">
      <w:r w:rsidRPr="00654B1B">
        <w:t>For DL intra-band</w:t>
      </w:r>
      <w:r>
        <w:t xml:space="preserve"> CA with single uplink carrier, there’re no pending</w:t>
      </w:r>
      <w:r w:rsidR="00176377">
        <w:t xml:space="preserve"> MSD requirements</w:t>
      </w:r>
      <w:r w:rsidR="00A92E3D">
        <w:t xml:space="preserve"> if the necessary requirements for non-CA/DC operations have been completed</w:t>
      </w:r>
      <w:r w:rsidR="00176377">
        <w:t>. This is because:</w:t>
      </w:r>
    </w:p>
    <w:p w:rsidR="00176377" w:rsidRDefault="00176377" w:rsidP="00176377">
      <w:pPr>
        <w:numPr>
          <w:ilvl w:val="0"/>
          <w:numId w:val="8"/>
        </w:numPr>
      </w:pPr>
      <w:r>
        <w:t>No MSD issue for TDD bands;</w:t>
      </w:r>
    </w:p>
    <w:p w:rsidR="00176377" w:rsidRDefault="00176377" w:rsidP="00176377">
      <w:pPr>
        <w:numPr>
          <w:ilvl w:val="0"/>
          <w:numId w:val="8"/>
        </w:numPr>
      </w:pPr>
      <w:r>
        <w:lastRenderedPageBreak/>
        <w:t>For FDD bands, MSD could happen. But the REFSENS requirements for intra-band CA is defined on the condition that the DL PCC is configured closer to the UL band than any of the DL SCCs when there is only one uplink carrier. The potential MSD on PCC or SCC would not be worse than the REFSENS degradation that has been allowed for HPUE single-carrier operations.</w:t>
      </w:r>
    </w:p>
    <w:p w:rsidR="00F837AA" w:rsidRPr="00F837AA" w:rsidRDefault="00F837AA">
      <w:pPr>
        <w:rPr>
          <w:b/>
        </w:rPr>
      </w:pPr>
      <w:r w:rsidRPr="00F837AA">
        <w:rPr>
          <w:b/>
          <w:color w:val="000000"/>
          <w:lang w:val="en-US" w:eastAsia="zh-CN"/>
        </w:rPr>
        <w:t xml:space="preserve">Observation 7: </w:t>
      </w:r>
      <w:r w:rsidRPr="00F837AA">
        <w:rPr>
          <w:b/>
        </w:rPr>
        <w:t>For DL intra-band CA with single uplink carrier, there’re no pending MSD requirements</w:t>
      </w:r>
      <w:r w:rsidR="00F57E2F" w:rsidRPr="00F57E2F">
        <w:rPr>
          <w:b/>
        </w:rPr>
        <w:t xml:space="preserve"> if the necessary requirements for non-CA/DC operations have been completed</w:t>
      </w:r>
      <w:r w:rsidRPr="00F837AA">
        <w:rPr>
          <w:b/>
        </w:rPr>
        <w:t>.</w:t>
      </w:r>
    </w:p>
    <w:p w:rsidR="00F837AA" w:rsidRDefault="00F837AA">
      <w:pPr>
        <w:rPr>
          <w:color w:val="000000"/>
          <w:lang w:val="en-US" w:eastAsia="zh-CN"/>
        </w:rPr>
      </w:pPr>
      <w:r w:rsidRPr="00F837AA">
        <w:rPr>
          <w:b/>
          <w:color w:val="000000"/>
          <w:lang w:val="en-US" w:eastAsia="zh-CN"/>
        </w:rPr>
        <w:t xml:space="preserve">Proposal 2: Consider to </w:t>
      </w:r>
      <w:r w:rsidR="00801EE8">
        <w:rPr>
          <w:b/>
          <w:color w:val="000000"/>
          <w:lang w:val="en-US" w:eastAsia="zh-CN"/>
        </w:rPr>
        <w:t>void</w:t>
      </w:r>
      <w:r w:rsidRPr="00F837AA">
        <w:rPr>
          <w:b/>
          <w:color w:val="000000"/>
          <w:lang w:val="en-US" w:eastAsia="zh-CN"/>
        </w:rPr>
        <w:t xml:space="preserve"> the power class/MSD related notes in Clause 5.5A for DL intra-band CA with single uplink carrier.</w:t>
      </w:r>
    </w:p>
    <w:p w:rsidR="00F837AA" w:rsidRDefault="00F837AA">
      <w:pPr>
        <w:rPr>
          <w:color w:val="000000"/>
          <w:lang w:val="en-US" w:eastAsia="zh-CN"/>
        </w:rPr>
      </w:pPr>
      <w:r>
        <w:rPr>
          <w:color w:val="000000"/>
          <w:lang w:val="en-US" w:eastAsia="zh-CN"/>
        </w:rPr>
        <w:t>Regarding the applicable power classes, the same flexibility for UE implementations should be maintained.</w:t>
      </w:r>
    </w:p>
    <w:p w:rsidR="00C72469" w:rsidRDefault="00C72469" w:rsidP="00C72469">
      <w:pPr>
        <w:pStyle w:val="Heading3"/>
      </w:pPr>
      <w:r>
        <w:t>2.4 MSD conformance test issue</w:t>
      </w:r>
    </w:p>
    <w:p w:rsidR="009A108C" w:rsidRDefault="00C47AF8" w:rsidP="00C72469">
      <w:r>
        <w:t xml:space="preserve">In RAN4#106, a CR </w:t>
      </w:r>
      <w:r w:rsidR="00CE025F">
        <w:t xml:space="preserve">[5] </w:t>
      </w:r>
      <w:r>
        <w:t xml:space="preserve">was agreed to </w:t>
      </w:r>
      <w:r w:rsidR="006C6DF8">
        <w:t>modify the Note for EN-DC configurations as shown below:</w:t>
      </w:r>
    </w:p>
    <w:p w:rsidR="006C6DF8" w:rsidRDefault="009D189D" w:rsidP="00C72469">
      <w:pPr>
        <w:rPr>
          <w:b/>
          <w:noProof/>
          <w:color w:val="000000"/>
          <w:lang w:val="en-US" w:eastAsia="zh-CN"/>
        </w:rPr>
      </w:pPr>
      <w:r>
        <w:rPr>
          <w:b/>
          <w:noProof/>
          <w:color w:val="000000"/>
          <w:lang w:val="en-US"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6" type="#_x0000_t75" style="width:493.5pt;height:44.5pt;visibility:visible;mso-wrap-style:square">
            <v:imagedata r:id="rId7" o:title=""/>
          </v:shape>
        </w:pict>
      </w:r>
    </w:p>
    <w:p w:rsidR="006C6DF8" w:rsidRDefault="006C6DF8" w:rsidP="00C72469">
      <w:pPr>
        <w:rPr>
          <w:color w:val="000000"/>
          <w:lang w:val="en-US" w:eastAsia="zh-CN"/>
        </w:rPr>
      </w:pPr>
      <w:r w:rsidRPr="006C6DF8">
        <w:rPr>
          <w:color w:val="000000"/>
          <w:lang w:val="en-US" w:eastAsia="zh-CN"/>
        </w:rPr>
        <w:t>Similar</w:t>
      </w:r>
      <w:r w:rsidR="005A4AFE">
        <w:rPr>
          <w:color w:val="000000"/>
          <w:lang w:val="en-US" w:eastAsia="zh-CN"/>
        </w:rPr>
        <w:t xml:space="preserve"> changes for NR CA</w:t>
      </w:r>
      <w:r w:rsidR="00FE08B4">
        <w:rPr>
          <w:color w:val="000000"/>
          <w:lang w:val="en-US" w:eastAsia="zh-CN"/>
        </w:rPr>
        <w:t xml:space="preserve"> were proposed.</w:t>
      </w:r>
      <w:r w:rsidR="00C71F13">
        <w:rPr>
          <w:color w:val="000000"/>
          <w:lang w:val="en-US" w:eastAsia="zh-CN"/>
        </w:rPr>
        <w:t xml:space="preserve"> </w:t>
      </w:r>
      <w:r w:rsidR="00FB7432">
        <w:rPr>
          <w:color w:val="000000"/>
          <w:lang w:val="en-US" w:eastAsia="zh-CN"/>
        </w:rPr>
        <w:t>O</w:t>
      </w:r>
      <w:r w:rsidR="00C71F13">
        <w:rPr>
          <w:color w:val="000000"/>
          <w:lang w:val="en-US" w:eastAsia="zh-CN"/>
        </w:rPr>
        <w:t xml:space="preserve">ur main concern on this approach is that </w:t>
      </w:r>
      <w:r w:rsidR="00CC39D2">
        <w:rPr>
          <w:color w:val="000000"/>
          <w:lang w:val="en-US" w:eastAsia="zh-CN"/>
        </w:rPr>
        <w:t>it could cause ambiguity on the MSD requirements for HPUE band combinations. For example:</w:t>
      </w:r>
    </w:p>
    <w:p w:rsidR="00CC39D2" w:rsidRDefault="00CC39D2" w:rsidP="00B060E7">
      <w:pPr>
        <w:ind w:left="-426" w:firstLine="720"/>
        <w:rPr>
          <w:color w:val="000000"/>
          <w:lang w:val="en-US" w:eastAsia="zh-CN"/>
        </w:rPr>
      </w:pPr>
      <w:r>
        <w:rPr>
          <w:color w:val="000000"/>
          <w:lang w:val="en-US" w:eastAsia="zh-CN"/>
        </w:rPr>
        <w:t>Question 1: Can a UE report PC2/PC1.5 for a band combination before the MSD test points are specified?</w:t>
      </w:r>
    </w:p>
    <w:p w:rsidR="00CC39D2" w:rsidRDefault="00CC39D2" w:rsidP="00B060E7">
      <w:pPr>
        <w:ind w:left="1276" w:hanging="992"/>
        <w:rPr>
          <w:color w:val="000000"/>
          <w:lang w:val="en-US" w:eastAsia="zh-CN"/>
        </w:rPr>
      </w:pPr>
      <w:r>
        <w:rPr>
          <w:color w:val="000000"/>
          <w:lang w:val="en-US" w:eastAsia="zh-CN"/>
        </w:rPr>
        <w:t>Question 2: If the answer is yes to Q1, how to perform the MSD conformance tests? Reuse PC3 test points</w:t>
      </w:r>
      <w:r w:rsidR="00434685">
        <w:rPr>
          <w:color w:val="000000"/>
          <w:lang w:val="en-US" w:eastAsia="zh-CN"/>
        </w:rPr>
        <w:t xml:space="preserve"> (including MSD values)</w:t>
      </w:r>
      <w:r>
        <w:rPr>
          <w:color w:val="000000"/>
          <w:lang w:val="en-US" w:eastAsia="zh-CN"/>
        </w:rPr>
        <w:t xml:space="preserve"> or no test at all?</w:t>
      </w:r>
    </w:p>
    <w:p w:rsidR="003125FC" w:rsidRPr="003125FC" w:rsidRDefault="003125FC" w:rsidP="00C72469">
      <w:pPr>
        <w:rPr>
          <w:b/>
          <w:color w:val="000000"/>
          <w:lang w:val="en-US" w:eastAsia="zh-CN"/>
        </w:rPr>
      </w:pPr>
      <w:r w:rsidRPr="003125FC">
        <w:rPr>
          <w:b/>
          <w:color w:val="000000"/>
          <w:lang w:val="en-US" w:eastAsia="zh-CN"/>
        </w:rPr>
        <w:t xml:space="preserve">Proposal 3: Further discuss the MSD conformance test issue before changing the notes for HPUE </w:t>
      </w:r>
      <w:r w:rsidR="009F7803">
        <w:rPr>
          <w:b/>
          <w:color w:val="000000"/>
          <w:lang w:val="en-US" w:eastAsia="zh-CN"/>
        </w:rPr>
        <w:t>inter-</w:t>
      </w:r>
      <w:r w:rsidRPr="003125FC">
        <w:rPr>
          <w:b/>
          <w:color w:val="000000"/>
          <w:lang w:val="en-US" w:eastAsia="zh-CN"/>
        </w:rPr>
        <w:t>band combinations in Clause 5 of TS38.101-1.</w:t>
      </w:r>
    </w:p>
    <w:p w:rsidR="007232AE" w:rsidRPr="00C14CE5" w:rsidRDefault="007232AE" w:rsidP="007232AE">
      <w:pPr>
        <w:pStyle w:val="Heading1"/>
        <w:tabs>
          <w:tab w:val="num" w:pos="432"/>
        </w:tabs>
        <w:ind w:left="0" w:firstLine="0"/>
        <w:rPr>
          <w:rStyle w:val="Heading1Char1"/>
          <w:rFonts w:eastAsia="SimSun"/>
        </w:rPr>
      </w:pPr>
      <w:r>
        <w:rPr>
          <w:rStyle w:val="Heading1Char1"/>
          <w:rFonts w:eastAsia="SimSun"/>
        </w:rPr>
        <w:t>3</w:t>
      </w:r>
      <w:r w:rsidRPr="00C14CE5">
        <w:rPr>
          <w:rStyle w:val="Heading1Char1"/>
          <w:rFonts w:eastAsia="SimSun"/>
        </w:rPr>
        <w:tab/>
      </w:r>
      <w:r>
        <w:rPr>
          <w:rStyle w:val="Heading1Char1"/>
          <w:rFonts w:eastAsia="SimSun"/>
        </w:rPr>
        <w:t>Conclusion</w:t>
      </w:r>
    </w:p>
    <w:p w:rsidR="007232AE" w:rsidRPr="007232AE" w:rsidRDefault="007232AE" w:rsidP="007232AE">
      <w:pPr>
        <w:rPr>
          <w:color w:val="000000"/>
          <w:lang w:val="en-US" w:eastAsia="zh-CN"/>
        </w:rPr>
      </w:pPr>
      <w:r w:rsidRPr="007232AE">
        <w:rPr>
          <w:color w:val="000000"/>
          <w:lang w:val="en-US" w:eastAsia="zh-CN"/>
        </w:rPr>
        <w:t xml:space="preserve">In this paper, we </w:t>
      </w:r>
      <w:r w:rsidR="00457E49">
        <w:rPr>
          <w:color w:val="000000"/>
          <w:lang w:val="en-US" w:eastAsia="zh-CN"/>
        </w:rPr>
        <w:t>further discussed the applicable power classes for UL inter-band CA as well as DL CA with single uplink carrier. The following observations and proposals are made:</w:t>
      </w:r>
    </w:p>
    <w:p w:rsidR="00457E49" w:rsidRPr="00C96D37" w:rsidRDefault="00457E49" w:rsidP="00457E49">
      <w:pPr>
        <w:rPr>
          <w:b/>
        </w:rPr>
      </w:pPr>
      <w:r w:rsidRPr="00C96D37">
        <w:rPr>
          <w:b/>
        </w:rPr>
        <w:t>Observation 1: The power class of a component band within an uplink inter-band CA combination shall not exceed the power class of the band combination itself.</w:t>
      </w:r>
    </w:p>
    <w:p w:rsidR="00457E49" w:rsidRPr="00C8472D" w:rsidRDefault="00457E49" w:rsidP="00457E49">
      <w:pPr>
        <w:rPr>
          <w:b/>
        </w:rPr>
      </w:pPr>
      <w:r w:rsidRPr="00C8472D">
        <w:rPr>
          <w:b/>
        </w:rPr>
        <w:t xml:space="preserve">Observation 2: If signalled, the power class for the individual bands within a band combination is solely decided by the UE capability </w:t>
      </w:r>
      <w:r w:rsidRPr="00C8472D">
        <w:rPr>
          <w:b/>
          <w:i/>
        </w:rPr>
        <w:t>ue-PowerClassPerBandPerBC-r17</w:t>
      </w:r>
      <w:r w:rsidRPr="00C8472D">
        <w:rPr>
          <w:b/>
        </w:rPr>
        <w:t>.</w:t>
      </w:r>
      <w:r>
        <w:rPr>
          <w:b/>
        </w:rPr>
        <w:t xml:space="preserve"> </w:t>
      </w:r>
      <w:r w:rsidRPr="00C8472D">
        <w:rPr>
          <w:b/>
        </w:rPr>
        <w:t>It’s UE’s responsibility to ensure that the principle in observation 1 is followed</w:t>
      </w:r>
      <w:r w:rsidR="00682112">
        <w:rPr>
          <w:b/>
        </w:rPr>
        <w:t xml:space="preserve"> when reporting</w:t>
      </w:r>
      <w:r w:rsidRPr="00C8472D">
        <w:rPr>
          <w:b/>
        </w:rPr>
        <w:t>.</w:t>
      </w:r>
    </w:p>
    <w:p w:rsidR="00457E49" w:rsidRPr="006C740F" w:rsidRDefault="00457E49" w:rsidP="00457E49">
      <w:pPr>
        <w:rPr>
          <w:b/>
        </w:rPr>
      </w:pPr>
      <w:r w:rsidRPr="006C740F">
        <w:rPr>
          <w:b/>
        </w:rPr>
        <w:t xml:space="preserve">Observation 3: If the UE capability </w:t>
      </w:r>
      <w:r w:rsidRPr="006C740F">
        <w:rPr>
          <w:b/>
          <w:i/>
        </w:rPr>
        <w:t xml:space="preserve">ue-PowerClassPerBandPerBC-r17 </w:t>
      </w:r>
      <w:r w:rsidRPr="006C740F">
        <w:rPr>
          <w:b/>
        </w:rPr>
        <w:t xml:space="preserve">is absent, the power class for the individual bands within a band combination could be determined as </w:t>
      </w:r>
      <w:proofErr w:type="gramStart"/>
      <w:r w:rsidRPr="006C740F">
        <w:rPr>
          <w:b/>
        </w:rPr>
        <w:t>min{</w:t>
      </w:r>
      <w:proofErr w:type="spellStart"/>
      <w:proofErr w:type="gramEnd"/>
      <w:r w:rsidRPr="006C740F">
        <w:rPr>
          <w:b/>
        </w:rPr>
        <w:t>ue-PowerClass</w:t>
      </w:r>
      <w:proofErr w:type="spellEnd"/>
      <w:r w:rsidRPr="006C740F">
        <w:rPr>
          <w:b/>
        </w:rPr>
        <w:t>, Power</w:t>
      </w:r>
      <w:r w:rsidR="001C7C7B">
        <w:rPr>
          <w:b/>
        </w:rPr>
        <w:t xml:space="preserve"> </w:t>
      </w:r>
      <w:r w:rsidRPr="006C740F">
        <w:rPr>
          <w:b/>
        </w:rPr>
        <w:t>Class</w:t>
      </w:r>
      <w:r w:rsidR="001C7C7B">
        <w:rPr>
          <w:b/>
        </w:rPr>
        <w:t xml:space="preserve"> for the BC</w:t>
      </w:r>
      <w:r w:rsidRPr="006C740F">
        <w:rPr>
          <w:b/>
        </w:rPr>
        <w:t>}. It’s UE’s responsibility to ensure that no power class ambiguity exists.</w:t>
      </w:r>
    </w:p>
    <w:p w:rsidR="00457E49" w:rsidRPr="00B056C5" w:rsidRDefault="00457E49" w:rsidP="00457E49">
      <w:pPr>
        <w:rPr>
          <w:b/>
          <w:color w:val="000000"/>
          <w:lang w:val="en-US" w:eastAsia="zh-CN"/>
        </w:rPr>
      </w:pPr>
      <w:r w:rsidRPr="00B056C5">
        <w:rPr>
          <w:b/>
          <w:color w:val="000000"/>
          <w:lang w:val="en-US" w:eastAsia="zh-CN"/>
        </w:rPr>
        <w:t xml:space="preserve">Observation </w:t>
      </w:r>
      <w:r>
        <w:rPr>
          <w:b/>
          <w:color w:val="000000"/>
          <w:lang w:val="en-US" w:eastAsia="zh-CN"/>
        </w:rPr>
        <w:t>4</w:t>
      </w:r>
      <w:r w:rsidRPr="00B056C5">
        <w:rPr>
          <w:b/>
          <w:color w:val="000000"/>
          <w:lang w:val="en-US" w:eastAsia="zh-CN"/>
        </w:rPr>
        <w:t xml:space="preserve">: </w:t>
      </w:r>
      <w:r>
        <w:rPr>
          <w:b/>
          <w:color w:val="000000"/>
          <w:lang w:val="en-US" w:eastAsia="zh-CN"/>
        </w:rPr>
        <w:t>Depending on the progress of the corresponding HPUE basket WI</w:t>
      </w:r>
      <w:r w:rsidRPr="00B056C5">
        <w:rPr>
          <w:b/>
          <w:color w:val="000000"/>
          <w:lang w:val="en-US" w:eastAsia="zh-CN"/>
        </w:rPr>
        <w:t xml:space="preserve">, it </w:t>
      </w:r>
      <w:r>
        <w:rPr>
          <w:b/>
          <w:color w:val="000000"/>
          <w:lang w:val="en-US" w:eastAsia="zh-CN"/>
        </w:rPr>
        <w:t xml:space="preserve">may </w:t>
      </w:r>
      <w:r w:rsidRPr="00B056C5">
        <w:rPr>
          <w:b/>
          <w:color w:val="000000"/>
          <w:lang w:val="en-US" w:eastAsia="zh-CN"/>
        </w:rPr>
        <w:t xml:space="preserve">not </w:t>
      </w:r>
      <w:r>
        <w:rPr>
          <w:b/>
          <w:color w:val="000000"/>
          <w:lang w:val="en-US" w:eastAsia="zh-CN"/>
        </w:rPr>
        <w:t>be feasible</w:t>
      </w:r>
      <w:r w:rsidRPr="00B056C5">
        <w:rPr>
          <w:b/>
          <w:color w:val="000000"/>
          <w:lang w:val="en-US" w:eastAsia="zh-CN"/>
        </w:rPr>
        <w:t xml:space="preserve"> to apply the </w:t>
      </w:r>
      <w:r>
        <w:rPr>
          <w:b/>
          <w:color w:val="000000"/>
          <w:lang w:val="en-US" w:eastAsia="zh-CN"/>
        </w:rPr>
        <w:t xml:space="preserve">single-band </w:t>
      </w:r>
      <w:r w:rsidRPr="00B056C5">
        <w:rPr>
          <w:b/>
          <w:color w:val="000000"/>
          <w:lang w:val="en-US" w:eastAsia="zh-CN"/>
        </w:rPr>
        <w:t>power class (</w:t>
      </w:r>
      <w:proofErr w:type="spellStart"/>
      <w:r w:rsidRPr="00B056C5">
        <w:rPr>
          <w:b/>
          <w:i/>
          <w:color w:val="000000"/>
          <w:lang w:val="en-US" w:eastAsia="zh-CN"/>
        </w:rPr>
        <w:t>ue-PowerClass</w:t>
      </w:r>
      <w:proofErr w:type="spellEnd"/>
      <w:r w:rsidRPr="00B056C5">
        <w:rPr>
          <w:b/>
          <w:color w:val="000000"/>
          <w:lang w:val="en-US" w:eastAsia="zh-CN"/>
        </w:rPr>
        <w:t>) for the single-carrier UL with DL CA</w:t>
      </w:r>
      <w:r>
        <w:rPr>
          <w:b/>
          <w:color w:val="000000"/>
          <w:lang w:val="en-US" w:eastAsia="zh-CN"/>
        </w:rPr>
        <w:t>, since the MSD requirements m</w:t>
      </w:r>
      <w:r w:rsidR="00CA6AD3">
        <w:rPr>
          <w:b/>
          <w:color w:val="000000"/>
          <w:lang w:val="en-US" w:eastAsia="zh-CN"/>
        </w:rPr>
        <w:t>ight</w:t>
      </w:r>
      <w:r>
        <w:rPr>
          <w:b/>
          <w:color w:val="000000"/>
          <w:lang w:val="en-US" w:eastAsia="zh-CN"/>
        </w:rPr>
        <w:t xml:space="preserve"> be incomplete</w:t>
      </w:r>
      <w:r w:rsidRPr="00B056C5">
        <w:rPr>
          <w:b/>
          <w:color w:val="000000"/>
          <w:lang w:val="en-US" w:eastAsia="zh-CN"/>
        </w:rPr>
        <w:t>.</w:t>
      </w:r>
    </w:p>
    <w:p w:rsidR="00457E49" w:rsidRPr="00547162" w:rsidRDefault="00457E49" w:rsidP="00457E49">
      <w:pPr>
        <w:rPr>
          <w:b/>
          <w:color w:val="000000"/>
          <w:lang w:val="en-US" w:eastAsia="zh-CN"/>
        </w:rPr>
      </w:pPr>
      <w:r w:rsidRPr="00547162">
        <w:rPr>
          <w:b/>
          <w:color w:val="000000"/>
          <w:lang w:val="en-US" w:eastAsia="zh-CN"/>
        </w:rPr>
        <w:t xml:space="preserve">Observation </w:t>
      </w:r>
      <w:r>
        <w:rPr>
          <w:b/>
          <w:color w:val="000000"/>
          <w:lang w:val="en-US" w:eastAsia="zh-CN"/>
        </w:rPr>
        <w:t>5</w:t>
      </w:r>
      <w:r w:rsidRPr="00547162">
        <w:rPr>
          <w:b/>
          <w:color w:val="000000"/>
          <w:lang w:val="en-US" w:eastAsia="zh-CN"/>
        </w:rPr>
        <w:t xml:space="preserve">: In Rel-16, power class 2 may be indicated (via </w:t>
      </w:r>
      <w:proofErr w:type="spellStart"/>
      <w:r w:rsidRPr="00547162">
        <w:rPr>
          <w:b/>
          <w:i/>
          <w:color w:val="000000"/>
          <w:lang w:val="en-US" w:eastAsia="zh-CN"/>
        </w:rPr>
        <w:t>ue-PowerClass</w:t>
      </w:r>
      <w:proofErr w:type="spellEnd"/>
      <w:r w:rsidRPr="00547162">
        <w:rPr>
          <w:b/>
          <w:color w:val="000000"/>
          <w:lang w:val="en-US" w:eastAsia="zh-CN"/>
        </w:rPr>
        <w:t xml:space="preserve"> or its extensions) for band n41, n77, n78 and n79, but it’s not applicable when DL CA is configured.</w:t>
      </w:r>
      <w:r>
        <w:rPr>
          <w:b/>
          <w:color w:val="000000"/>
          <w:lang w:val="en-US" w:eastAsia="zh-CN"/>
        </w:rPr>
        <w:t xml:space="preserve"> Instead, the </w:t>
      </w:r>
      <w:proofErr w:type="spellStart"/>
      <w:r w:rsidRPr="006B37EA">
        <w:rPr>
          <w:b/>
          <w:i/>
          <w:color w:val="000000"/>
          <w:lang w:val="en-US" w:eastAsia="zh-CN"/>
        </w:rPr>
        <w:t>powerClass</w:t>
      </w:r>
      <w:proofErr w:type="spellEnd"/>
      <w:r>
        <w:rPr>
          <w:b/>
          <w:color w:val="000000"/>
          <w:lang w:val="en-US" w:eastAsia="zh-CN"/>
        </w:rPr>
        <w:t xml:space="preserve"> field in </w:t>
      </w:r>
      <w:proofErr w:type="spellStart"/>
      <w:r w:rsidRPr="006B37EA">
        <w:rPr>
          <w:b/>
          <w:i/>
          <w:color w:val="000000"/>
          <w:lang w:val="en-US" w:eastAsia="zh-CN"/>
        </w:rPr>
        <w:t>BandCombination</w:t>
      </w:r>
      <w:proofErr w:type="spellEnd"/>
      <w:r>
        <w:rPr>
          <w:b/>
          <w:color w:val="000000"/>
          <w:lang w:val="en-US" w:eastAsia="zh-CN"/>
        </w:rPr>
        <w:t xml:space="preserve"> IE could be used to indicate the valid power class.</w:t>
      </w:r>
    </w:p>
    <w:p w:rsidR="00457E49" w:rsidRPr="009F579A" w:rsidRDefault="00BC035D" w:rsidP="00457E49">
      <w:pPr>
        <w:rPr>
          <w:b/>
          <w:color w:val="000000"/>
          <w:lang w:val="en-US" w:eastAsia="zh-CN"/>
        </w:rPr>
      </w:pPr>
      <w:r>
        <w:rPr>
          <w:b/>
          <w:color w:val="000000"/>
          <w:lang w:val="en-US" w:eastAsia="zh-CN"/>
        </w:rPr>
        <w:t>Observation 6</w:t>
      </w:r>
      <w:r w:rsidRPr="009F579A">
        <w:rPr>
          <w:b/>
          <w:color w:val="000000"/>
          <w:lang w:val="en-US" w:eastAsia="zh-CN"/>
        </w:rPr>
        <w:t xml:space="preserve">: </w:t>
      </w:r>
      <w:r>
        <w:rPr>
          <w:b/>
          <w:color w:val="000000"/>
          <w:lang w:val="en-US" w:eastAsia="zh-CN"/>
        </w:rPr>
        <w:t xml:space="preserve">For practical implementation issues, it’s necessary to allow the UE to report a different power class for DL CA with single uplink carrier than the power class for single-carrier operations without CA (as indicated in </w:t>
      </w:r>
      <w:proofErr w:type="spellStart"/>
      <w:r w:rsidRPr="00862BD3">
        <w:rPr>
          <w:b/>
          <w:i/>
          <w:color w:val="000000"/>
          <w:lang w:val="en-US" w:eastAsia="zh-CN"/>
        </w:rPr>
        <w:t>ue-PowerClass</w:t>
      </w:r>
      <w:proofErr w:type="spellEnd"/>
      <w:r w:rsidRPr="00452783">
        <w:rPr>
          <w:b/>
          <w:color w:val="000000"/>
          <w:lang w:val="en-US" w:eastAsia="zh-CN"/>
        </w:rPr>
        <w:t>)</w:t>
      </w:r>
      <w:r w:rsidRPr="009F579A">
        <w:rPr>
          <w:b/>
          <w:color w:val="000000"/>
          <w:lang w:val="en-US" w:eastAsia="zh-CN"/>
        </w:rPr>
        <w:t>.</w:t>
      </w:r>
    </w:p>
    <w:p w:rsidR="00457E49" w:rsidRDefault="00457E49" w:rsidP="00457E49">
      <w:pPr>
        <w:rPr>
          <w:b/>
          <w:lang w:val="en-US"/>
        </w:rPr>
      </w:pPr>
      <w:r w:rsidRPr="00654B1B">
        <w:rPr>
          <w:b/>
          <w:lang w:val="en-US"/>
        </w:rPr>
        <w:t>Proposal 1: For downlink CA with a single uplink carrier, the power class for the UL shall be the lower of the following two values: the power class of the band combination and the power class of the band for single-carrier operations</w:t>
      </w:r>
      <w:r w:rsidR="001D4EF6">
        <w:rPr>
          <w:b/>
          <w:lang w:val="en-US"/>
        </w:rPr>
        <w:t xml:space="preserve"> without CA</w:t>
      </w:r>
      <w:r w:rsidRPr="00654B1B">
        <w:rPr>
          <w:b/>
          <w:lang w:val="en-US"/>
        </w:rPr>
        <w:t>.</w:t>
      </w:r>
    </w:p>
    <w:p w:rsidR="00E75127" w:rsidRDefault="00E75127" w:rsidP="00457E49">
      <w:pPr>
        <w:rPr>
          <w:b/>
        </w:rPr>
      </w:pPr>
      <w:r w:rsidRPr="00F837AA">
        <w:rPr>
          <w:b/>
          <w:color w:val="000000"/>
          <w:lang w:val="en-US" w:eastAsia="zh-CN"/>
        </w:rPr>
        <w:lastRenderedPageBreak/>
        <w:t xml:space="preserve">Observation 7: </w:t>
      </w:r>
      <w:r w:rsidRPr="00F837AA">
        <w:rPr>
          <w:b/>
        </w:rPr>
        <w:t>For DL intra-band CA with single uplink carrier, there’re no pending MSD requirements</w:t>
      </w:r>
      <w:r w:rsidRPr="00F57E2F">
        <w:rPr>
          <w:b/>
        </w:rPr>
        <w:t xml:space="preserve"> if the necessary requirements for non-CA/DC operations have been completed</w:t>
      </w:r>
      <w:r w:rsidRPr="00F837AA">
        <w:rPr>
          <w:b/>
        </w:rPr>
        <w:t>.</w:t>
      </w:r>
    </w:p>
    <w:p w:rsidR="00457E49" w:rsidRDefault="00457E49" w:rsidP="00457E49">
      <w:pPr>
        <w:rPr>
          <w:b/>
          <w:color w:val="000000"/>
          <w:lang w:val="en-US" w:eastAsia="zh-CN"/>
        </w:rPr>
      </w:pPr>
      <w:r w:rsidRPr="00F837AA">
        <w:rPr>
          <w:b/>
          <w:color w:val="000000"/>
          <w:lang w:val="en-US" w:eastAsia="zh-CN"/>
        </w:rPr>
        <w:t xml:space="preserve">Proposal 2: Consider to </w:t>
      </w:r>
      <w:r w:rsidR="00801EE8">
        <w:rPr>
          <w:b/>
          <w:color w:val="000000"/>
          <w:lang w:val="en-US" w:eastAsia="zh-CN"/>
        </w:rPr>
        <w:t>void</w:t>
      </w:r>
      <w:r w:rsidRPr="00F837AA">
        <w:rPr>
          <w:b/>
          <w:color w:val="000000"/>
          <w:lang w:val="en-US" w:eastAsia="zh-CN"/>
        </w:rPr>
        <w:t xml:space="preserve"> the power class/MSD related notes in Clause 5.5A for DL intra-band CA with single uplink carrier.</w:t>
      </w:r>
    </w:p>
    <w:p w:rsidR="00295B43" w:rsidRDefault="00295B43" w:rsidP="00457E49">
      <w:pPr>
        <w:rPr>
          <w:color w:val="000000"/>
          <w:lang w:val="en-US" w:eastAsia="zh-CN"/>
        </w:rPr>
      </w:pPr>
      <w:r w:rsidRPr="003125FC">
        <w:rPr>
          <w:b/>
          <w:color w:val="000000"/>
          <w:lang w:val="en-US" w:eastAsia="zh-CN"/>
        </w:rPr>
        <w:t>Proposal 3: Further discuss the MSD conformance test issue before changing the notes for HPUE</w:t>
      </w:r>
      <w:r w:rsidR="00D6517E">
        <w:rPr>
          <w:b/>
          <w:color w:val="000000"/>
          <w:lang w:val="en-US" w:eastAsia="zh-CN"/>
        </w:rPr>
        <w:t xml:space="preserve"> inter-</w:t>
      </w:r>
      <w:r w:rsidRPr="003125FC">
        <w:rPr>
          <w:b/>
          <w:color w:val="000000"/>
          <w:lang w:val="en-US" w:eastAsia="zh-CN"/>
        </w:rPr>
        <w:t>band combinations in Clause 5 of TS38.101-1.</w:t>
      </w:r>
    </w:p>
    <w:p w:rsidR="002F1EBC" w:rsidRDefault="002F1EBC">
      <w:pPr>
        <w:rPr>
          <w:color w:val="000000"/>
          <w:lang w:val="en-US" w:eastAsia="zh-CN"/>
        </w:rPr>
      </w:pPr>
      <w:r w:rsidRPr="002F1EBC">
        <w:rPr>
          <w:color w:val="000000"/>
          <w:lang w:val="en-US" w:eastAsia="zh-CN"/>
        </w:rPr>
        <w:t xml:space="preserve">Based on the </w:t>
      </w:r>
      <w:r>
        <w:rPr>
          <w:color w:val="000000"/>
          <w:lang w:val="en-US" w:eastAsia="zh-CN"/>
        </w:rPr>
        <w:t xml:space="preserve">above </w:t>
      </w:r>
      <w:r w:rsidR="00457E49">
        <w:rPr>
          <w:color w:val="000000"/>
          <w:lang w:val="en-US" w:eastAsia="zh-CN"/>
        </w:rPr>
        <w:t>analysis</w:t>
      </w:r>
      <w:r>
        <w:rPr>
          <w:color w:val="000000"/>
          <w:lang w:val="en-US" w:eastAsia="zh-CN"/>
        </w:rPr>
        <w:t>,</w:t>
      </w:r>
      <w:r w:rsidR="00457E49">
        <w:rPr>
          <w:color w:val="000000"/>
          <w:lang w:val="en-US" w:eastAsia="zh-CN"/>
        </w:rPr>
        <w:t xml:space="preserve"> we propose the following changes to TS 38.101-1</w:t>
      </w:r>
      <w:r>
        <w:rPr>
          <w:color w:val="000000"/>
          <w:lang w:val="en-US" w:eastAsia="zh-CN"/>
        </w:rPr>
        <w:t>.</w:t>
      </w:r>
    </w:p>
    <w:p w:rsidR="002F1EBC" w:rsidRDefault="002F1EBC">
      <w:pPr>
        <w:rPr>
          <w:b/>
          <w:color w:val="000000"/>
          <w:lang w:val="en-US" w:eastAsia="zh-CN"/>
        </w:rPr>
      </w:pPr>
      <w:r w:rsidRPr="002F1EBC">
        <w:rPr>
          <w:b/>
          <w:color w:val="000000"/>
          <w:lang w:val="en-US" w:eastAsia="zh-CN"/>
        </w:rPr>
        <w:t xml:space="preserve">Proposal </w:t>
      </w:r>
      <w:r w:rsidR="00295B43">
        <w:rPr>
          <w:b/>
          <w:color w:val="000000"/>
          <w:lang w:val="en-US" w:eastAsia="zh-CN"/>
        </w:rPr>
        <w:t>4</w:t>
      </w:r>
      <w:r w:rsidRPr="002F1EBC">
        <w:rPr>
          <w:b/>
          <w:color w:val="000000"/>
          <w:lang w:val="en-US" w:eastAsia="zh-CN"/>
        </w:rPr>
        <w:t>:</w:t>
      </w:r>
      <w:r w:rsidR="00457E49">
        <w:rPr>
          <w:b/>
          <w:color w:val="000000"/>
          <w:lang w:val="en-US" w:eastAsia="zh-CN"/>
        </w:rPr>
        <w:t xml:space="preserve"> Add a new </w:t>
      </w:r>
      <w:r w:rsidR="008A0B5B">
        <w:rPr>
          <w:b/>
          <w:color w:val="000000"/>
          <w:lang w:val="en-US" w:eastAsia="zh-CN"/>
        </w:rPr>
        <w:t>“</w:t>
      </w:r>
      <w:r w:rsidR="00457E49">
        <w:rPr>
          <w:b/>
          <w:color w:val="000000"/>
          <w:lang w:val="en-US" w:eastAsia="zh-CN"/>
        </w:rPr>
        <w:t>Clause 6.2A.1.0 General</w:t>
      </w:r>
      <w:r w:rsidR="008A0B5B">
        <w:rPr>
          <w:b/>
          <w:color w:val="000000"/>
          <w:lang w:val="en-US" w:eastAsia="zh-CN"/>
        </w:rPr>
        <w:t>”</w:t>
      </w:r>
      <w:r w:rsidR="00457E49">
        <w:rPr>
          <w:b/>
          <w:color w:val="000000"/>
          <w:lang w:val="en-US" w:eastAsia="zh-CN"/>
        </w:rPr>
        <w:t xml:space="preserve"> to clarify the applicable power classes</w:t>
      </w:r>
      <w:r w:rsidR="00C65BB6">
        <w:rPr>
          <w:b/>
          <w:color w:val="000000"/>
          <w:lang w:val="en-US" w:eastAsia="zh-CN"/>
        </w:rPr>
        <w:t xml:space="preserve"> for various CA use cases</w:t>
      </w:r>
      <w:r w:rsidRPr="002F1EBC">
        <w:rPr>
          <w:b/>
          <w:color w:val="000000"/>
          <w:lang w:val="en-US" w:eastAsia="zh-CN"/>
        </w:rPr>
        <w:t>.</w:t>
      </w:r>
    </w:p>
    <w:p w:rsidR="00457E49" w:rsidRDefault="00457E49">
      <w:pPr>
        <w:rPr>
          <w:b/>
          <w:color w:val="000000"/>
          <w:lang w:val="en-US" w:eastAsia="zh-CN"/>
        </w:rPr>
      </w:pPr>
      <w:r>
        <w:rPr>
          <w:b/>
          <w:color w:val="000000"/>
          <w:lang w:val="en-US" w:eastAsia="zh-CN"/>
        </w:rPr>
        <w:t xml:space="preserve">Proposal </w:t>
      </w:r>
      <w:r w:rsidR="00295B43">
        <w:rPr>
          <w:b/>
          <w:color w:val="000000"/>
          <w:lang w:val="en-US" w:eastAsia="zh-CN"/>
        </w:rPr>
        <w:t>5</w:t>
      </w:r>
      <w:r>
        <w:rPr>
          <w:b/>
          <w:color w:val="000000"/>
          <w:lang w:val="en-US" w:eastAsia="zh-CN"/>
        </w:rPr>
        <w:t xml:space="preserve">: Use the following wording for the new </w:t>
      </w:r>
      <w:r w:rsidR="001B45E8">
        <w:rPr>
          <w:b/>
          <w:color w:val="000000"/>
          <w:lang w:val="en-US" w:eastAsia="zh-CN"/>
        </w:rPr>
        <w:t>“</w:t>
      </w:r>
      <w:r>
        <w:rPr>
          <w:b/>
          <w:color w:val="000000"/>
          <w:lang w:val="en-US" w:eastAsia="zh-CN"/>
        </w:rPr>
        <w:t>Clause 6.2A.1.0 General</w:t>
      </w:r>
      <w:r w:rsidR="001B45E8">
        <w:rPr>
          <w:b/>
          <w:color w:val="000000"/>
          <w:lang w:val="en-US" w:eastAsia="zh-CN"/>
        </w:rPr>
        <w:t>”</w:t>
      </w:r>
      <w:r>
        <w:rPr>
          <w:b/>
          <w:color w:val="000000"/>
          <w:lang w:val="en-US" w:eastAsia="zh-CN"/>
        </w:rPr>
        <w:t xml:space="preserve"> [3]:</w:t>
      </w:r>
    </w:p>
    <w:p w:rsidR="00990CD7" w:rsidRPr="00496E73" w:rsidRDefault="00990CD7" w:rsidP="00990CD7">
      <w:pPr>
        <w:rPr>
          <w:rFonts w:ascii="Arial" w:hAnsi="Arial" w:cs="Arial"/>
          <w:sz w:val="18"/>
        </w:rPr>
      </w:pPr>
      <w:r w:rsidRPr="00496E73">
        <w:rPr>
          <w:rFonts w:ascii="Arial" w:hAnsi="Arial" w:cs="Arial"/>
          <w:sz w:val="18"/>
        </w:rPr>
        <w:t xml:space="preserve">The UE Power Classes for CA are defined in the sub-clauses below. The UE indicates the Power Class for a CA band combination using the capability field of </w:t>
      </w:r>
      <w:proofErr w:type="spellStart"/>
      <w:r w:rsidRPr="00496E73">
        <w:rPr>
          <w:rFonts w:ascii="Arial" w:hAnsi="Arial" w:cs="Arial"/>
          <w:i/>
          <w:sz w:val="18"/>
        </w:rPr>
        <w:t>powerClass</w:t>
      </w:r>
      <w:proofErr w:type="spellEnd"/>
      <w:r w:rsidRPr="00496E73">
        <w:rPr>
          <w:rFonts w:ascii="Arial" w:hAnsi="Arial" w:cs="Arial"/>
          <w:sz w:val="18"/>
        </w:rPr>
        <w:t xml:space="preserve"> or </w:t>
      </w:r>
      <w:r w:rsidRPr="00496E73">
        <w:rPr>
          <w:rFonts w:ascii="Arial" w:hAnsi="Arial" w:cs="Arial"/>
          <w:i/>
          <w:sz w:val="18"/>
        </w:rPr>
        <w:t>powerClass-v1610</w:t>
      </w:r>
      <w:r w:rsidRPr="00496E73">
        <w:rPr>
          <w:rFonts w:ascii="Arial" w:hAnsi="Arial" w:cs="Arial"/>
          <w:sz w:val="18"/>
        </w:rPr>
        <w:t>. If both fields are absent, the default power class applies to the band combination.</w:t>
      </w:r>
    </w:p>
    <w:p w:rsidR="00990CD7" w:rsidRPr="00496E73" w:rsidRDefault="00990CD7" w:rsidP="00990CD7">
      <w:pPr>
        <w:rPr>
          <w:rFonts w:ascii="Arial" w:hAnsi="Arial" w:cs="Arial"/>
          <w:sz w:val="18"/>
        </w:rPr>
      </w:pPr>
      <w:r w:rsidRPr="00496E73">
        <w:rPr>
          <w:rFonts w:ascii="Arial" w:hAnsi="Arial" w:cs="Arial"/>
          <w:sz w:val="18"/>
        </w:rPr>
        <w:t xml:space="preserve">The power class of a component band within a CA band combination shall not exceed the power class of the band combination itself. For uplink inter-band CA, the UE may use the capability field of </w:t>
      </w:r>
      <w:r w:rsidRPr="00496E73">
        <w:rPr>
          <w:rFonts w:ascii="Arial" w:hAnsi="Arial" w:cs="Arial"/>
          <w:i/>
          <w:sz w:val="18"/>
        </w:rPr>
        <w:t>ue-PowerClassPerBandPerBC-r17</w:t>
      </w:r>
      <w:r w:rsidRPr="00496E73">
        <w:rPr>
          <w:rFonts w:ascii="Arial" w:hAnsi="Arial" w:cs="Arial"/>
          <w:sz w:val="18"/>
        </w:rPr>
        <w:t xml:space="preserve"> to indicate the power class of each band in a band combination. Otherwise, the power class of each band in the band combination is the lower of the following two values: the power class of the band combination and the power class of the individual band for single-carrier operations. The latter value is indicated by the capability field of </w:t>
      </w:r>
      <w:proofErr w:type="spellStart"/>
      <w:r w:rsidRPr="00496E73">
        <w:rPr>
          <w:rFonts w:ascii="Arial" w:hAnsi="Arial" w:cs="Arial"/>
          <w:i/>
          <w:sz w:val="18"/>
        </w:rPr>
        <w:t>ue-PowerClass</w:t>
      </w:r>
      <w:proofErr w:type="spellEnd"/>
      <w:r w:rsidRPr="00496E73">
        <w:rPr>
          <w:rFonts w:ascii="Arial" w:hAnsi="Arial" w:cs="Arial"/>
          <w:sz w:val="18"/>
        </w:rPr>
        <w:t xml:space="preserve">, </w:t>
      </w:r>
      <w:r w:rsidRPr="00496E73">
        <w:rPr>
          <w:rFonts w:ascii="Arial" w:hAnsi="Arial" w:cs="Arial"/>
          <w:i/>
          <w:sz w:val="18"/>
        </w:rPr>
        <w:t>ue-PowerClass-v1610</w:t>
      </w:r>
      <w:r w:rsidRPr="00496E73">
        <w:rPr>
          <w:rFonts w:ascii="Arial" w:hAnsi="Arial" w:cs="Arial"/>
          <w:sz w:val="18"/>
        </w:rPr>
        <w:t xml:space="preserve"> or </w:t>
      </w:r>
      <w:r w:rsidRPr="00496E73">
        <w:rPr>
          <w:rFonts w:ascii="Arial" w:hAnsi="Arial" w:cs="Arial"/>
          <w:i/>
          <w:sz w:val="18"/>
        </w:rPr>
        <w:t>ue-PowerClass-v1700</w:t>
      </w:r>
      <w:r w:rsidRPr="00496E73">
        <w:rPr>
          <w:rFonts w:ascii="Arial" w:hAnsi="Arial" w:cs="Arial"/>
          <w:sz w:val="18"/>
        </w:rPr>
        <w:t>.</w:t>
      </w:r>
    </w:p>
    <w:p w:rsidR="00990CD7" w:rsidRDefault="00990CD7" w:rsidP="00990CD7">
      <w:r w:rsidRPr="00496E73">
        <w:rPr>
          <w:rFonts w:ascii="Arial" w:hAnsi="Arial" w:cs="Arial"/>
          <w:sz w:val="18"/>
        </w:rPr>
        <w:t>For downlink CA with a single uplink carrier, the power class for the UL is the lower of the following two values: the power class of the band combination and the power class of the band for single-carrier operations.</w:t>
      </w:r>
    </w:p>
    <w:p w:rsidR="00457E49" w:rsidRDefault="00457E49">
      <w:pPr>
        <w:rPr>
          <w:b/>
          <w:color w:val="000000"/>
          <w:lang w:val="en-US" w:eastAsia="zh-CN"/>
        </w:rPr>
      </w:pPr>
      <w:r>
        <w:rPr>
          <w:b/>
          <w:color w:val="000000"/>
          <w:lang w:val="en-US" w:eastAsia="zh-CN"/>
        </w:rPr>
        <w:t xml:space="preserve">Proposal </w:t>
      </w:r>
      <w:r w:rsidR="00295B43">
        <w:rPr>
          <w:b/>
          <w:color w:val="000000"/>
          <w:lang w:val="en-US" w:eastAsia="zh-CN"/>
        </w:rPr>
        <w:t>6</w:t>
      </w:r>
      <w:r>
        <w:rPr>
          <w:b/>
          <w:color w:val="000000"/>
          <w:lang w:val="en-US" w:eastAsia="zh-CN"/>
        </w:rPr>
        <w:t>:</w:t>
      </w:r>
      <w:r w:rsidR="007A73EF">
        <w:rPr>
          <w:b/>
          <w:color w:val="000000"/>
          <w:lang w:val="en-US" w:eastAsia="zh-CN"/>
        </w:rPr>
        <w:t xml:space="preserve"> Change the specification from Rel-17.</w:t>
      </w:r>
    </w:p>
    <w:p w:rsidR="007A73EF" w:rsidRDefault="007A73EF">
      <w:pPr>
        <w:rPr>
          <w:b/>
          <w:color w:val="000000"/>
          <w:lang w:val="en-US" w:eastAsia="zh-CN"/>
        </w:rPr>
      </w:pPr>
      <w:r>
        <w:rPr>
          <w:b/>
          <w:color w:val="000000"/>
          <w:lang w:val="en-US" w:eastAsia="zh-CN"/>
        </w:rPr>
        <w:t xml:space="preserve">Proposal </w:t>
      </w:r>
      <w:r w:rsidR="00295B43">
        <w:rPr>
          <w:b/>
          <w:color w:val="000000"/>
          <w:lang w:val="en-US" w:eastAsia="zh-CN"/>
        </w:rPr>
        <w:t>7</w:t>
      </w:r>
      <w:r>
        <w:rPr>
          <w:b/>
          <w:color w:val="000000"/>
          <w:lang w:val="en-US" w:eastAsia="zh-CN"/>
        </w:rPr>
        <w:t>: Agree the companion CR in [3], which involves modifications to both Clause 5.5A and 6.2A.</w:t>
      </w:r>
    </w:p>
    <w:p w:rsidR="00031A7F" w:rsidRPr="002F1EBC" w:rsidRDefault="00031A7F">
      <w:pPr>
        <w:rPr>
          <w:b/>
          <w:color w:val="000000"/>
          <w:lang w:val="en-US" w:eastAsia="zh-CN"/>
        </w:rPr>
      </w:pPr>
      <w:r>
        <w:rPr>
          <w:b/>
          <w:color w:val="000000"/>
          <w:lang w:val="en-US" w:eastAsia="zh-CN"/>
        </w:rPr>
        <w:t xml:space="preserve">Proposal </w:t>
      </w:r>
      <w:r w:rsidR="00295B43">
        <w:rPr>
          <w:b/>
          <w:color w:val="000000"/>
          <w:lang w:val="en-US" w:eastAsia="zh-CN"/>
        </w:rPr>
        <w:t>8</w:t>
      </w:r>
      <w:r>
        <w:rPr>
          <w:b/>
          <w:color w:val="000000"/>
          <w:lang w:val="en-US" w:eastAsia="zh-CN"/>
        </w:rPr>
        <w:t xml:space="preserve">: Consider sending a LS to RAN2 to modify the description of UE capability </w:t>
      </w:r>
      <w:proofErr w:type="spellStart"/>
      <w:r w:rsidRPr="00031A7F">
        <w:rPr>
          <w:b/>
          <w:i/>
          <w:color w:val="000000"/>
          <w:lang w:val="en-US" w:eastAsia="zh-CN"/>
        </w:rPr>
        <w:t>powerClass</w:t>
      </w:r>
      <w:proofErr w:type="spellEnd"/>
      <w:r>
        <w:rPr>
          <w:b/>
          <w:color w:val="000000"/>
          <w:lang w:val="en-US" w:eastAsia="zh-CN"/>
        </w:rPr>
        <w:t xml:space="preserve"> so that it refers to </w:t>
      </w:r>
      <w:r w:rsidR="00143C95">
        <w:rPr>
          <w:b/>
          <w:color w:val="000000"/>
          <w:lang w:val="en-US" w:eastAsia="zh-CN"/>
        </w:rPr>
        <w:t xml:space="preserve">the clause in </w:t>
      </w:r>
      <w:r>
        <w:rPr>
          <w:b/>
          <w:color w:val="000000"/>
          <w:lang w:val="en-US" w:eastAsia="zh-CN"/>
        </w:rPr>
        <w:t xml:space="preserve">RAN4 spec to determine the power class for </w:t>
      </w:r>
      <w:r w:rsidR="00990CD7">
        <w:rPr>
          <w:b/>
          <w:color w:val="000000"/>
          <w:lang w:val="en-US" w:eastAsia="zh-CN"/>
        </w:rPr>
        <w:t xml:space="preserve">the </w:t>
      </w:r>
      <w:r>
        <w:rPr>
          <w:b/>
          <w:color w:val="000000"/>
          <w:lang w:val="en-US" w:eastAsia="zh-CN"/>
        </w:rPr>
        <w:t>individual bands within a band combination.</w:t>
      </w:r>
    </w:p>
    <w:p w:rsidR="007232AE" w:rsidRPr="00C14CE5" w:rsidRDefault="007232AE" w:rsidP="007232AE">
      <w:pPr>
        <w:pStyle w:val="Heading1"/>
        <w:tabs>
          <w:tab w:val="num" w:pos="432"/>
        </w:tabs>
        <w:ind w:left="432" w:hanging="432"/>
        <w:rPr>
          <w:rStyle w:val="Heading1Char1"/>
          <w:rFonts w:eastAsia="SimSun"/>
        </w:rPr>
      </w:pPr>
      <w:r w:rsidRPr="00C14CE5">
        <w:rPr>
          <w:rStyle w:val="Heading1Char1"/>
          <w:rFonts w:eastAsia="SimSun"/>
        </w:rPr>
        <w:t>References</w:t>
      </w:r>
    </w:p>
    <w:p w:rsidR="007232AE" w:rsidRDefault="00DD18FE" w:rsidP="007232AE">
      <w:pPr>
        <w:pStyle w:val="ListParagraph"/>
        <w:numPr>
          <w:ilvl w:val="0"/>
          <w:numId w:val="5"/>
        </w:numPr>
        <w:rPr>
          <w:lang w:eastAsia="zh-CN"/>
        </w:rPr>
      </w:pPr>
      <w:r w:rsidRPr="00DD18FE">
        <w:rPr>
          <w:lang w:eastAsia="ja-JP"/>
        </w:rPr>
        <w:t>R4-2300714 Reply LS on per-band per-BC power class</w:t>
      </w:r>
      <w:r>
        <w:rPr>
          <w:lang w:eastAsia="ja-JP"/>
        </w:rPr>
        <w:t xml:space="preserve">, Huawei, </w:t>
      </w:r>
      <w:proofErr w:type="spellStart"/>
      <w:r>
        <w:rPr>
          <w:lang w:eastAsia="ja-JP"/>
        </w:rPr>
        <w:t>HiSilicon</w:t>
      </w:r>
      <w:proofErr w:type="spellEnd"/>
      <w:r>
        <w:rPr>
          <w:lang w:eastAsia="ja-JP"/>
        </w:rPr>
        <w:t>, RAN4#106</w:t>
      </w:r>
    </w:p>
    <w:p w:rsidR="00C202E6" w:rsidRDefault="00DD18FE" w:rsidP="007232AE">
      <w:pPr>
        <w:pStyle w:val="ListParagraph"/>
        <w:numPr>
          <w:ilvl w:val="0"/>
          <w:numId w:val="5"/>
        </w:numPr>
        <w:rPr>
          <w:lang w:eastAsia="zh-CN"/>
        </w:rPr>
      </w:pPr>
      <w:r>
        <w:rPr>
          <w:lang w:eastAsia="zh-CN"/>
        </w:rPr>
        <w:t>R4-2303705 WF on power class indications in TS 38.101-1 and related signalling</w:t>
      </w:r>
      <w:r w:rsidR="00C202E6">
        <w:rPr>
          <w:lang w:eastAsia="zh-CN"/>
        </w:rPr>
        <w:t>, RAN4#10</w:t>
      </w:r>
      <w:r>
        <w:rPr>
          <w:lang w:eastAsia="zh-CN"/>
        </w:rPr>
        <w:t>6</w:t>
      </w:r>
    </w:p>
    <w:p w:rsidR="00CF3D12" w:rsidRDefault="00CF3D12" w:rsidP="007232AE">
      <w:pPr>
        <w:pStyle w:val="ListParagraph"/>
        <w:numPr>
          <w:ilvl w:val="0"/>
          <w:numId w:val="5"/>
        </w:numPr>
        <w:rPr>
          <w:lang w:eastAsia="zh-CN"/>
        </w:rPr>
      </w:pPr>
      <w:r>
        <w:rPr>
          <w:lang w:eastAsia="zh-CN"/>
        </w:rPr>
        <w:t>R4-230</w:t>
      </w:r>
      <w:r w:rsidR="00263AEB">
        <w:rPr>
          <w:lang w:eastAsia="zh-CN"/>
        </w:rPr>
        <w:t>7914</w:t>
      </w:r>
      <w:bookmarkStart w:id="3" w:name="_GoBack"/>
      <w:bookmarkEnd w:id="3"/>
      <w:r>
        <w:rPr>
          <w:lang w:eastAsia="zh-CN"/>
        </w:rPr>
        <w:t xml:space="preserve"> CR to TS 38.101-1 Clarifying applicable power classes for NR CA combinations, Huawei, </w:t>
      </w:r>
      <w:proofErr w:type="spellStart"/>
      <w:r>
        <w:rPr>
          <w:lang w:eastAsia="zh-CN"/>
        </w:rPr>
        <w:t>HiSilicon</w:t>
      </w:r>
      <w:proofErr w:type="spellEnd"/>
      <w:r>
        <w:rPr>
          <w:lang w:eastAsia="zh-CN"/>
        </w:rPr>
        <w:t>, RAN4#107</w:t>
      </w:r>
    </w:p>
    <w:p w:rsidR="00471EF9" w:rsidRDefault="00471EF9" w:rsidP="007232AE">
      <w:pPr>
        <w:pStyle w:val="ListParagraph"/>
        <w:numPr>
          <w:ilvl w:val="0"/>
          <w:numId w:val="5"/>
        </w:numPr>
        <w:rPr>
          <w:lang w:eastAsia="zh-CN"/>
        </w:rPr>
      </w:pPr>
      <w:r>
        <w:rPr>
          <w:lang w:eastAsia="zh-CN"/>
        </w:rPr>
        <w:t xml:space="preserve">R4-2304630 </w:t>
      </w:r>
      <w:r w:rsidRPr="00471EF9">
        <w:rPr>
          <w:lang w:eastAsia="zh-CN"/>
        </w:rPr>
        <w:t>Reply LS on clarification for ue-PowerClassPerBandPerBC-r17 (R4 16-8)</w:t>
      </w:r>
      <w:r w:rsidR="000C2089">
        <w:rPr>
          <w:lang w:eastAsia="zh-CN"/>
        </w:rPr>
        <w:t>, RAN4#106</w:t>
      </w:r>
    </w:p>
    <w:p w:rsidR="006C6DF8" w:rsidRDefault="006C6DF8" w:rsidP="007232AE">
      <w:pPr>
        <w:pStyle w:val="ListParagraph"/>
        <w:numPr>
          <w:ilvl w:val="0"/>
          <w:numId w:val="5"/>
        </w:numPr>
        <w:rPr>
          <w:lang w:eastAsia="zh-CN"/>
        </w:rPr>
      </w:pPr>
      <w:r>
        <w:rPr>
          <w:lang w:eastAsia="zh-CN"/>
        </w:rPr>
        <w:t xml:space="preserve">R4-2303671 </w:t>
      </w:r>
      <w:r w:rsidR="002D4959">
        <w:fldChar w:fldCharType="begin"/>
      </w:r>
      <w:r w:rsidR="002D4959">
        <w:instrText xml:space="preserve"> DOCPROPERTY  CrTitle  \* MERGEFORMAT </w:instrText>
      </w:r>
      <w:r w:rsidR="002D4959">
        <w:fldChar w:fldCharType="separate"/>
      </w:r>
      <w:r>
        <w:t>CR for 38.101-3 to Identify Applicable HPUE EN-DC Combinations</w:t>
      </w:r>
      <w:r w:rsidR="002D4959">
        <w:fldChar w:fldCharType="end"/>
      </w:r>
      <w:r>
        <w:t>, AT&amp;T, Verizon, T-Mobile USA, RAN4#106</w:t>
      </w:r>
    </w:p>
    <w:sectPr w:rsidR="006C6DF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D4959" w:rsidRDefault="002D4959">
      <w:pPr>
        <w:spacing w:after="0"/>
      </w:pPr>
      <w:r>
        <w:separator/>
      </w:r>
    </w:p>
  </w:endnote>
  <w:endnote w:type="continuationSeparator" w:id="0">
    <w:p w:rsidR="002D4959" w:rsidRDefault="002D495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Vrinda">
    <w:panose1 w:val="00000400000000000000"/>
    <w:charset w:val="01"/>
    <w:family w:val="roman"/>
    <w:notTrueType/>
    <w:pitch w:val="variable"/>
  </w:font>
  <w:font w:name="v5.0.0">
    <w:altName w:val="Times New Roman"/>
    <w:panose1 w:val="00000000000000000000"/>
    <w:charset w:val="00"/>
    <w:family w:val="roman"/>
    <w:notTrueType/>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D4959" w:rsidRDefault="002D4959">
      <w:pPr>
        <w:spacing w:after="0"/>
      </w:pPr>
      <w:r>
        <w:separator/>
      </w:r>
    </w:p>
  </w:footnote>
  <w:footnote w:type="continuationSeparator" w:id="0">
    <w:p w:rsidR="002D4959" w:rsidRDefault="002D495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432129"/>
    <w:multiLevelType w:val="hybridMultilevel"/>
    <w:tmpl w:val="CE86616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3446586"/>
    <w:multiLevelType w:val="hybridMultilevel"/>
    <w:tmpl w:val="96B2A61A"/>
    <w:lvl w:ilvl="0" w:tplc="37FC2D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9605DFE"/>
    <w:multiLevelType w:val="hybridMultilevel"/>
    <w:tmpl w:val="4198B820"/>
    <w:lvl w:ilvl="0" w:tplc="DB0849B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608CE9E"/>
    <w:multiLevelType w:val="singleLevel"/>
    <w:tmpl w:val="7608CE9E"/>
    <w:lvl w:ilvl="0">
      <w:start w:val="1"/>
      <w:numFmt w:val="decimal"/>
      <w:lvlText w:val="%1)"/>
      <w:lvlJc w:val="left"/>
      <w:pPr>
        <w:ind w:left="425" w:hanging="425"/>
      </w:pPr>
      <w:rPr>
        <w:rFonts w:hint="default"/>
      </w:rPr>
    </w:lvl>
  </w:abstractNum>
  <w:num w:numId="1">
    <w:abstractNumId w:val="6"/>
  </w:num>
  <w:num w:numId="2">
    <w:abstractNumId w:val="5"/>
  </w:num>
  <w:num w:numId="3">
    <w:abstractNumId w:val="4"/>
  </w:num>
  <w:num w:numId="4">
    <w:abstractNumId w:val="1"/>
  </w:num>
  <w:num w:numId="5">
    <w:abstractNumId w:val="3"/>
  </w:num>
  <w:num w:numId="6">
    <w:abstractNumId w:val="2"/>
  </w:num>
  <w:num w:numId="7">
    <w:abstractNumId w:val="7"/>
  </w:num>
  <w:num w:numId="8">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attachedTemplate r:id="rId1"/>
  <w:linkStyles/>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01227"/>
    <w:rsid w:val="00007B49"/>
    <w:rsid w:val="000112AD"/>
    <w:rsid w:val="00017F23"/>
    <w:rsid w:val="000217E5"/>
    <w:rsid w:val="00025662"/>
    <w:rsid w:val="00026325"/>
    <w:rsid w:val="00031A7F"/>
    <w:rsid w:val="00033358"/>
    <w:rsid w:val="000432F0"/>
    <w:rsid w:val="00073DC2"/>
    <w:rsid w:val="00082F8A"/>
    <w:rsid w:val="00084C35"/>
    <w:rsid w:val="000C2089"/>
    <w:rsid w:val="000E72A2"/>
    <w:rsid w:val="000F3A5E"/>
    <w:rsid w:val="000F6242"/>
    <w:rsid w:val="001052E1"/>
    <w:rsid w:val="00121118"/>
    <w:rsid w:val="001233B3"/>
    <w:rsid w:val="0013277F"/>
    <w:rsid w:val="00143C95"/>
    <w:rsid w:val="0017009B"/>
    <w:rsid w:val="00176377"/>
    <w:rsid w:val="001831E5"/>
    <w:rsid w:val="00183F66"/>
    <w:rsid w:val="00193603"/>
    <w:rsid w:val="001B45E8"/>
    <w:rsid w:val="001C7C7B"/>
    <w:rsid w:val="001D4EF6"/>
    <w:rsid w:val="001D6CB0"/>
    <w:rsid w:val="001E658D"/>
    <w:rsid w:val="001E760E"/>
    <w:rsid w:val="002023A7"/>
    <w:rsid w:val="00222F26"/>
    <w:rsid w:val="00234F20"/>
    <w:rsid w:val="00263AEB"/>
    <w:rsid w:val="00295B43"/>
    <w:rsid w:val="00297BF9"/>
    <w:rsid w:val="002D4959"/>
    <w:rsid w:val="002E3683"/>
    <w:rsid w:val="002F1940"/>
    <w:rsid w:val="002F1EBC"/>
    <w:rsid w:val="003114F9"/>
    <w:rsid w:val="003125FC"/>
    <w:rsid w:val="0032780A"/>
    <w:rsid w:val="00350A96"/>
    <w:rsid w:val="00383545"/>
    <w:rsid w:val="00410EDA"/>
    <w:rsid w:val="00414BC7"/>
    <w:rsid w:val="004221E6"/>
    <w:rsid w:val="00433500"/>
    <w:rsid w:val="00433F71"/>
    <w:rsid w:val="00434685"/>
    <w:rsid w:val="00440D43"/>
    <w:rsid w:val="00452783"/>
    <w:rsid w:val="00457E49"/>
    <w:rsid w:val="00471EF9"/>
    <w:rsid w:val="004736F9"/>
    <w:rsid w:val="00496E73"/>
    <w:rsid w:val="004A1363"/>
    <w:rsid w:val="004D0F71"/>
    <w:rsid w:val="004E3939"/>
    <w:rsid w:val="00533F26"/>
    <w:rsid w:val="00546685"/>
    <w:rsid w:val="00547162"/>
    <w:rsid w:val="00550790"/>
    <w:rsid w:val="0057339A"/>
    <w:rsid w:val="00573888"/>
    <w:rsid w:val="00576604"/>
    <w:rsid w:val="005A4AFE"/>
    <w:rsid w:val="005B6D73"/>
    <w:rsid w:val="005C074C"/>
    <w:rsid w:val="005C52A0"/>
    <w:rsid w:val="005F0E20"/>
    <w:rsid w:val="006169A4"/>
    <w:rsid w:val="00647875"/>
    <w:rsid w:val="00654B1B"/>
    <w:rsid w:val="00681CAD"/>
    <w:rsid w:val="00682112"/>
    <w:rsid w:val="00691D98"/>
    <w:rsid w:val="00697DFE"/>
    <w:rsid w:val="006B0443"/>
    <w:rsid w:val="006B37EA"/>
    <w:rsid w:val="006B5E09"/>
    <w:rsid w:val="006C6195"/>
    <w:rsid w:val="006C6DF8"/>
    <w:rsid w:val="006C740F"/>
    <w:rsid w:val="006E3FEC"/>
    <w:rsid w:val="006F4DF2"/>
    <w:rsid w:val="007157E9"/>
    <w:rsid w:val="007232AE"/>
    <w:rsid w:val="0075154C"/>
    <w:rsid w:val="00760EC1"/>
    <w:rsid w:val="007617F3"/>
    <w:rsid w:val="00771970"/>
    <w:rsid w:val="007A73EF"/>
    <w:rsid w:val="007B4DDF"/>
    <w:rsid w:val="007C1E44"/>
    <w:rsid w:val="007D498A"/>
    <w:rsid w:val="007E6DB5"/>
    <w:rsid w:val="007F4F92"/>
    <w:rsid w:val="00801EE8"/>
    <w:rsid w:val="0081469D"/>
    <w:rsid w:val="00856277"/>
    <w:rsid w:val="00862BD3"/>
    <w:rsid w:val="00877DB5"/>
    <w:rsid w:val="00887B7F"/>
    <w:rsid w:val="00891D9F"/>
    <w:rsid w:val="008A0B5B"/>
    <w:rsid w:val="008B53D7"/>
    <w:rsid w:val="008C0661"/>
    <w:rsid w:val="008C5F36"/>
    <w:rsid w:val="008D64E6"/>
    <w:rsid w:val="008D772F"/>
    <w:rsid w:val="008F31A1"/>
    <w:rsid w:val="00900349"/>
    <w:rsid w:val="00921592"/>
    <w:rsid w:val="00935A4C"/>
    <w:rsid w:val="00952629"/>
    <w:rsid w:val="00965B4E"/>
    <w:rsid w:val="009818C7"/>
    <w:rsid w:val="00990B2C"/>
    <w:rsid w:val="00990CD7"/>
    <w:rsid w:val="0099764C"/>
    <w:rsid w:val="009A108C"/>
    <w:rsid w:val="009A3BAD"/>
    <w:rsid w:val="009A48F8"/>
    <w:rsid w:val="009C1039"/>
    <w:rsid w:val="009C1A20"/>
    <w:rsid w:val="009D189D"/>
    <w:rsid w:val="009D21B0"/>
    <w:rsid w:val="009D61DD"/>
    <w:rsid w:val="009E3707"/>
    <w:rsid w:val="009F579A"/>
    <w:rsid w:val="009F7803"/>
    <w:rsid w:val="00A02C38"/>
    <w:rsid w:val="00A153AE"/>
    <w:rsid w:val="00A2347C"/>
    <w:rsid w:val="00A46184"/>
    <w:rsid w:val="00A76315"/>
    <w:rsid w:val="00A77569"/>
    <w:rsid w:val="00A77937"/>
    <w:rsid w:val="00A92E3D"/>
    <w:rsid w:val="00AC4891"/>
    <w:rsid w:val="00AD308D"/>
    <w:rsid w:val="00AE5960"/>
    <w:rsid w:val="00AF29EE"/>
    <w:rsid w:val="00B056C5"/>
    <w:rsid w:val="00B060E7"/>
    <w:rsid w:val="00B825CA"/>
    <w:rsid w:val="00B86DF0"/>
    <w:rsid w:val="00B97703"/>
    <w:rsid w:val="00BB42E3"/>
    <w:rsid w:val="00BC035D"/>
    <w:rsid w:val="00C17F1A"/>
    <w:rsid w:val="00C202E6"/>
    <w:rsid w:val="00C47AF8"/>
    <w:rsid w:val="00C51547"/>
    <w:rsid w:val="00C532F1"/>
    <w:rsid w:val="00C64CED"/>
    <w:rsid w:val="00C65BB6"/>
    <w:rsid w:val="00C71F13"/>
    <w:rsid w:val="00C72469"/>
    <w:rsid w:val="00C75C7A"/>
    <w:rsid w:val="00C8025E"/>
    <w:rsid w:val="00C8472D"/>
    <w:rsid w:val="00C9374C"/>
    <w:rsid w:val="00C96D37"/>
    <w:rsid w:val="00CA6AD3"/>
    <w:rsid w:val="00CB1734"/>
    <w:rsid w:val="00CC39D2"/>
    <w:rsid w:val="00CE025F"/>
    <w:rsid w:val="00CE593F"/>
    <w:rsid w:val="00CF3D12"/>
    <w:rsid w:val="00CF6087"/>
    <w:rsid w:val="00CF71DC"/>
    <w:rsid w:val="00D07094"/>
    <w:rsid w:val="00D1134B"/>
    <w:rsid w:val="00D21701"/>
    <w:rsid w:val="00D43CBF"/>
    <w:rsid w:val="00D534DF"/>
    <w:rsid w:val="00D57AD2"/>
    <w:rsid w:val="00D60833"/>
    <w:rsid w:val="00D61F04"/>
    <w:rsid w:val="00D6517E"/>
    <w:rsid w:val="00D71883"/>
    <w:rsid w:val="00DB62F7"/>
    <w:rsid w:val="00DD18FE"/>
    <w:rsid w:val="00DD482F"/>
    <w:rsid w:val="00DD4872"/>
    <w:rsid w:val="00DE729D"/>
    <w:rsid w:val="00E0222B"/>
    <w:rsid w:val="00E43BEB"/>
    <w:rsid w:val="00E56481"/>
    <w:rsid w:val="00E7505C"/>
    <w:rsid w:val="00E75127"/>
    <w:rsid w:val="00E908CA"/>
    <w:rsid w:val="00E91AD9"/>
    <w:rsid w:val="00EA341D"/>
    <w:rsid w:val="00EA64F2"/>
    <w:rsid w:val="00EB22CF"/>
    <w:rsid w:val="00EE7683"/>
    <w:rsid w:val="00F11C58"/>
    <w:rsid w:val="00F142F5"/>
    <w:rsid w:val="00F4467D"/>
    <w:rsid w:val="00F53769"/>
    <w:rsid w:val="00F5386B"/>
    <w:rsid w:val="00F56D0E"/>
    <w:rsid w:val="00F57E2F"/>
    <w:rsid w:val="00F837AA"/>
    <w:rsid w:val="00FB5190"/>
    <w:rsid w:val="00FB7432"/>
    <w:rsid w:val="00FC2568"/>
    <w:rsid w:val="00FE08B4"/>
    <w:rsid w:val="00FF6149"/>
    <w:rsid w:val="00FF713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65135855"/>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72469"/>
    <w:pPr>
      <w:overflowPunct w:val="0"/>
      <w:autoSpaceDE w:val="0"/>
      <w:autoSpaceDN w:val="0"/>
      <w:adjustRightInd w:val="0"/>
      <w:spacing w:after="180"/>
      <w:textAlignment w:val="baseline"/>
    </w:pPr>
    <w:rPr>
      <w:lang w:eastAsia="en-GB"/>
    </w:r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GB"/>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CF6087"/>
    <w:pPr>
      <w:spacing w:before="120"/>
      <w:outlineLvl w:val="2"/>
    </w:pPr>
    <w:rPr>
      <w:sz w:val="28"/>
    </w:rPr>
  </w:style>
  <w:style w:type="paragraph" w:styleId="Heading4">
    <w:name w:val="heading 4"/>
    <w:aliases w:val="h4"/>
    <w:basedOn w:val="Heading3"/>
    <w:next w:val="Normal"/>
    <w:link w:val="Heading4Char"/>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CF6087"/>
    <w:pPr>
      <w:widowControl w:val="0"/>
      <w:overflowPunct w:val="0"/>
      <w:autoSpaceDE w:val="0"/>
      <w:autoSpaceDN w:val="0"/>
      <w:adjustRightInd w:val="0"/>
      <w:textAlignment w:val="baseline"/>
    </w:pPr>
    <w:rPr>
      <w:rFonts w:ascii="Arial" w:hAnsi="Arial"/>
      <w:b/>
      <w:noProof/>
      <w:sz w:val="18"/>
      <w:lang w:eastAsia="en-GB"/>
    </w:rPr>
  </w:style>
  <w:style w:type="paragraph" w:styleId="Footer">
    <w:name w:val="footer"/>
    <w:basedOn w:val="Header"/>
    <w:semiHidden/>
    <w:rsid w:val="00CF608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link w:val="TANChar"/>
    <w:qFormat/>
    <w:rsid w:val="00CF6087"/>
    <w:pPr>
      <w:ind w:left="851" w:hanging="851"/>
    </w:pPr>
  </w:style>
  <w:style w:type="paragraph" w:customStyle="1" w:styleId="TAL">
    <w:name w:val="TAL"/>
    <w:basedOn w:val="Normal"/>
    <w:link w:val="TALCar"/>
    <w:qFormat/>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ListParagraph">
    <w:name w:val="List Paragraph"/>
    <w:aliases w:val="- Bullets,목록 단락,リスト段落,?? ??,?????,????,Lista1,1st level - Bullet List Paragraph,List Paragraph1,Lettre d'introduction,Paragrafo elenco,Normal bullet 2,Bullet list,Numbered List,Task Body,Viñetas (Inicio Parrafo),3 Txt tabla,Lista viñetas"/>
    <w:basedOn w:val="Normal"/>
    <w:link w:val="ListParagraphChar"/>
    <w:uiPriority w:val="34"/>
    <w:qFormat/>
    <w:rsid w:val="00C64CED"/>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 ?? Char,????? Char,???? Char,Lista1 Char,1st level - Bullet List Paragraph Char,List Paragraph1 Char,Lettre d'introduction Char,Paragrafo elenco Char,Normal bullet 2 Char,Bullet list Char"/>
    <w:link w:val="ListParagraph"/>
    <w:uiPriority w:val="34"/>
    <w:qFormat/>
    <w:locked/>
    <w:rsid w:val="00C64CED"/>
    <w:rPr>
      <w:rFonts w:eastAsia="SimSun"/>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7232AE"/>
    <w:rPr>
      <w:rFonts w:ascii="Arial" w:eastAsia="Times New Roman" w:hAnsi="Arial"/>
      <w:sz w:val="36"/>
      <w:lang w:val="en-GB"/>
    </w:rPr>
  </w:style>
  <w:style w:type="character" w:customStyle="1" w:styleId="TALCar">
    <w:name w:val="TAL Car"/>
    <w:link w:val="TAL"/>
    <w:qFormat/>
    <w:rsid w:val="00F5386B"/>
    <w:rPr>
      <w:rFonts w:ascii="Arial" w:hAnsi="Arial"/>
      <w:sz w:val="18"/>
      <w:lang w:eastAsia="en-GB"/>
    </w:rPr>
  </w:style>
  <w:style w:type="character" w:customStyle="1" w:styleId="TANChar">
    <w:name w:val="TAN Char"/>
    <w:link w:val="TAN"/>
    <w:qFormat/>
    <w:locked/>
    <w:rsid w:val="00F5386B"/>
    <w:rPr>
      <w:rFonts w:ascii="Arial" w:hAnsi="Arial"/>
      <w:sz w:val="18"/>
      <w:lang w:eastAsia="en-GB"/>
    </w:rPr>
  </w:style>
  <w:style w:type="table" w:styleId="TableGrid">
    <w:name w:val="Table Grid"/>
    <w:basedOn w:val="TableNormal"/>
    <w:uiPriority w:val="59"/>
    <w:rsid w:val="00A153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033358"/>
    <w:rPr>
      <w:b/>
      <w:bCs/>
    </w:rPr>
  </w:style>
  <w:style w:type="character" w:customStyle="1" w:styleId="Heading4Char">
    <w:name w:val="Heading 4 Char"/>
    <w:aliases w:val="h4 Char"/>
    <w:link w:val="Heading4"/>
    <w:rsid w:val="00C8025E"/>
    <w:rPr>
      <w:rFonts w:ascii="Arial" w:hAnsi="Arial"/>
      <w:sz w:val="24"/>
      <w:lang w:eastAsia="en-GB"/>
    </w:rPr>
  </w:style>
  <w:style w:type="character" w:customStyle="1" w:styleId="Heading3Char">
    <w:name w:val="Heading 3 Char"/>
    <w:aliases w:val="H3 Char,h3 Char"/>
    <w:link w:val="Heading3"/>
    <w:rsid w:val="00654B1B"/>
    <w:rPr>
      <w:rFonts w:ascii="Arial" w:hAnsi="Arial"/>
      <w:sz w:val="2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6328</TotalTime>
  <Pages>4</Pages>
  <Words>1817</Words>
  <Characters>10358</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12151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jinwang (A)</cp:lastModifiedBy>
  <cp:revision>115</cp:revision>
  <cp:lastPrinted>2002-04-23T07:10:00Z</cp:lastPrinted>
  <dcterms:created xsi:type="dcterms:W3CDTF">2020-01-14T15:01:00Z</dcterms:created>
  <dcterms:modified xsi:type="dcterms:W3CDTF">2023-05-15T15:05:00Z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1684011833</vt:lpwstr>
  </property>
</Properties>
</file>